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33" w:rsidRPr="008B3C33" w:rsidRDefault="008B3C33" w:rsidP="008B3C33">
      <w:pPr>
        <w:rPr>
          <w:b/>
          <w:bCs/>
          <w:sz w:val="28"/>
          <w:szCs w:val="28"/>
          <w:u w:val="single"/>
        </w:rPr>
      </w:pPr>
      <w:r w:rsidRPr="008B3C33">
        <w:rPr>
          <w:b/>
          <w:bCs/>
          <w:sz w:val="28"/>
          <w:szCs w:val="28"/>
          <w:u w:val="single"/>
        </w:rPr>
        <w:t xml:space="preserve">LEAP/LSC Financial Reporting Requirements: </w:t>
      </w:r>
    </w:p>
    <w:p w:rsidR="008B3C33" w:rsidRDefault="008B3C33" w:rsidP="008B3C33">
      <w:pPr>
        <w:rPr>
          <w:b/>
          <w:bCs/>
          <w:u w:val="single"/>
        </w:rPr>
      </w:pPr>
    </w:p>
    <w:p w:rsidR="008B3C33" w:rsidRPr="008B3C33" w:rsidRDefault="008B3C33" w:rsidP="008B3C33">
      <w:pPr>
        <w:rPr>
          <w:b/>
          <w:bCs/>
          <w:sz w:val="28"/>
          <w:szCs w:val="28"/>
        </w:rPr>
      </w:pPr>
      <w:r w:rsidRPr="008B3C33">
        <w:rPr>
          <w:b/>
          <w:bCs/>
          <w:sz w:val="28"/>
          <w:szCs w:val="28"/>
        </w:rPr>
        <w:t xml:space="preserve">LEAP 1 Requirements: </w:t>
      </w:r>
    </w:p>
    <w:p w:rsidR="008B3C33" w:rsidRDefault="008B3C33" w:rsidP="008B3C33">
      <w:pPr>
        <w:rPr>
          <w:b/>
          <w:bCs/>
          <w:u w:val="single"/>
        </w:rPr>
      </w:pPr>
    </w:p>
    <w:p w:rsidR="008B3C33" w:rsidRPr="008B3C33" w:rsidRDefault="008B3C33" w:rsidP="008B3C33">
      <w:pPr>
        <w:rPr>
          <w:b/>
          <w:bCs/>
          <w:u w:val="single"/>
        </w:rPr>
      </w:pPr>
      <w:r>
        <w:rPr>
          <w:b/>
          <w:bCs/>
          <w:u w:val="single"/>
        </w:rPr>
        <w:t>Tax form (990):</w:t>
      </w:r>
    </w:p>
    <w:p w:rsidR="008B3C33" w:rsidRDefault="008B3C33" w:rsidP="008B3C33">
      <w:r w:rsidRPr="008B3C33">
        <w:t xml:space="preserve">Each LSC shall meet the reporting requirements to USA Swimming contained within the “LSC </w:t>
      </w:r>
      <w:r>
        <w:t xml:space="preserve">Required </w:t>
      </w:r>
      <w:r w:rsidRPr="008B3C33">
        <w:t xml:space="preserve">By-Laws”, including an annual submission of a copy of IRS Tax Form 990 to: </w:t>
      </w:r>
      <w:hyperlink r:id="rId6" w:history="1">
        <w:r w:rsidRPr="008B3C33">
          <w:rPr>
            <w:rStyle w:val="Hyperlink"/>
          </w:rPr>
          <w:t>LSC990andfinancials@usaswimming.org</w:t>
        </w:r>
      </w:hyperlink>
      <w:r w:rsidRPr="008B3C33">
        <w:t xml:space="preserve">. </w:t>
      </w:r>
    </w:p>
    <w:p w:rsidR="008B3C33" w:rsidRPr="008B3C33" w:rsidRDefault="008B3C33" w:rsidP="008B3C33"/>
    <w:p w:rsidR="008B3C33" w:rsidRPr="008B3C33" w:rsidRDefault="008B3C33" w:rsidP="008B3C33">
      <w:r>
        <w:rPr>
          <w:b/>
          <w:bCs/>
          <w:u w:val="single"/>
        </w:rPr>
        <w:t>Year End Financial Statements:</w:t>
      </w:r>
    </w:p>
    <w:p w:rsidR="008B3C33" w:rsidRDefault="008B3C33" w:rsidP="008B3C33">
      <w:r w:rsidRPr="008B3C33">
        <w:t xml:space="preserve">Each LSC shall meet the reporting requirements to USA Swimming contained within the “LSC Model By-Laws”, including an annual submission of a copy of the annual closing Balance Sheet and Statement of Income and Expense to: </w:t>
      </w:r>
      <w:hyperlink r:id="rId7" w:history="1">
        <w:r w:rsidRPr="008B3C33">
          <w:rPr>
            <w:rStyle w:val="Hyperlink"/>
          </w:rPr>
          <w:t>LSC990andfinancials@usaswimming.org</w:t>
        </w:r>
      </w:hyperlink>
      <w:r w:rsidRPr="008B3C33">
        <w:t xml:space="preserve">. </w:t>
      </w:r>
    </w:p>
    <w:p w:rsidR="008B3C33" w:rsidRDefault="008B3C33" w:rsidP="008B3C33"/>
    <w:p w:rsidR="008B3C33" w:rsidRPr="008B3C33" w:rsidRDefault="008B3C33" w:rsidP="008B3C33">
      <w:pPr>
        <w:rPr>
          <w:b/>
          <w:u w:val="single"/>
        </w:rPr>
      </w:pPr>
      <w:r w:rsidRPr="008B3C33">
        <w:rPr>
          <w:b/>
          <w:u w:val="single"/>
        </w:rPr>
        <w:t>Annual Budget:</w:t>
      </w:r>
    </w:p>
    <w:p w:rsidR="008B3C33" w:rsidRPr="008B3C33" w:rsidRDefault="008B3C33" w:rsidP="008B3C33">
      <w:pPr>
        <w:rPr>
          <w:rFonts w:eastAsia="Times New Roman" w:cs="Times New Roman"/>
        </w:rPr>
      </w:pPr>
      <w:r w:rsidRPr="008B3C33">
        <w:rPr>
          <w:rFonts w:eastAsia="Times New Roman" w:cs="Arial"/>
          <w:shd w:val="clear" w:color="auto" w:fill="FFFFFF"/>
        </w:rPr>
        <w:t>Each LSC shall have an annual operating budget. </w:t>
      </w:r>
      <w:r w:rsidRPr="008B3C33">
        <w:rPr>
          <w:rFonts w:eastAsia="Times New Roman" w:cs="Arial"/>
          <w:u w:val="single"/>
          <w:shd w:val="clear" w:color="auto" w:fill="FFFFFF"/>
        </w:rPr>
        <w:t>Items may be grouped together. For example, USA Swimming does not need to see individual salaries of staff, but would like to see a single line item for salaries.</w:t>
      </w:r>
    </w:p>
    <w:p w:rsidR="008B3C33" w:rsidRDefault="008B3C33" w:rsidP="008B3C33"/>
    <w:p w:rsidR="008B3C33" w:rsidRDefault="008B3C33" w:rsidP="008B3C33">
      <w:pPr>
        <w:rPr>
          <w:b/>
          <w:u w:val="single"/>
        </w:rPr>
      </w:pPr>
      <w:r w:rsidRPr="008B3C33">
        <w:rPr>
          <w:b/>
          <w:u w:val="single"/>
        </w:rPr>
        <w:t>Monthly Financial Report (P&amp;L):</w:t>
      </w:r>
    </w:p>
    <w:p w:rsidR="008B3C33" w:rsidRPr="008B3C33" w:rsidRDefault="008B3C33" w:rsidP="008B3C33">
      <w:pPr>
        <w:rPr>
          <w:rFonts w:eastAsia="Times New Roman" w:cs="Times New Roman"/>
        </w:rPr>
      </w:pPr>
      <w:r w:rsidRPr="008B3C33">
        <w:rPr>
          <w:rFonts w:eastAsia="Times New Roman" w:cs="Arial"/>
          <w:shd w:val="clear" w:color="auto" w:fill="FFFFFF"/>
        </w:rPr>
        <w:t>To fulfill their fiduciary duty, LSC Board members must have knowledge of the financial state of the organization. A financial statement, such as a Profit/Loss (P&amp;L), must be provided at each regularly scheduled Board of Directors Meeting and its acceptance must be indicated in your minutes. </w:t>
      </w:r>
    </w:p>
    <w:p w:rsidR="008B3C33" w:rsidRPr="008B3C33" w:rsidRDefault="008B3C33" w:rsidP="008B3C33">
      <w:pPr>
        <w:rPr>
          <w:b/>
        </w:rPr>
      </w:pPr>
    </w:p>
    <w:p w:rsidR="008B3C33" w:rsidRPr="008B3C33" w:rsidRDefault="008B3C33" w:rsidP="008B3C33">
      <w:pPr>
        <w:rPr>
          <w:b/>
          <w:bCs/>
          <w:u w:val="single"/>
        </w:rPr>
      </w:pPr>
      <w:r>
        <w:rPr>
          <w:b/>
          <w:bCs/>
          <w:u w:val="single"/>
        </w:rPr>
        <w:t xml:space="preserve">LSC </w:t>
      </w:r>
      <w:r w:rsidRPr="008B3C33">
        <w:rPr>
          <w:b/>
          <w:bCs/>
          <w:u w:val="single"/>
        </w:rPr>
        <w:t>Int</w:t>
      </w:r>
      <w:r>
        <w:rPr>
          <w:b/>
          <w:bCs/>
          <w:u w:val="single"/>
        </w:rPr>
        <w:t xml:space="preserve">ernal Financial Review: </w:t>
      </w:r>
    </w:p>
    <w:p w:rsidR="008B3C33" w:rsidRPr="008B3C33" w:rsidRDefault="008B3C33" w:rsidP="008B3C33">
      <w:r w:rsidRPr="008B3C33">
        <w:t xml:space="preserve">LSCs shall </w:t>
      </w:r>
      <w:r>
        <w:t xml:space="preserve">annually conduct </w:t>
      </w:r>
      <w:r w:rsidRPr="008B3C33">
        <w:t xml:space="preserve">and submit to USA Swimming an </w:t>
      </w:r>
      <w:r>
        <w:t>LSC Statement of Internal</w:t>
      </w:r>
      <w:r w:rsidRPr="008B3C33">
        <w:t xml:space="preserve"> </w:t>
      </w:r>
      <w:r>
        <w:t xml:space="preserve">Review </w:t>
      </w:r>
      <w:r w:rsidRPr="008B3C33">
        <w:t>R</w:t>
      </w:r>
      <w:r>
        <w:t>emittance and Attestation form (or the results of an external audit) to</w:t>
      </w:r>
      <w:r w:rsidRPr="008B3C33">
        <w:t xml:space="preserve">: </w:t>
      </w:r>
      <w:hyperlink r:id="rId8" w:history="1">
        <w:r w:rsidRPr="008B3C33">
          <w:rPr>
            <w:rStyle w:val="Hyperlink"/>
          </w:rPr>
          <w:t>LSC990andfinancials@usaswimming.org</w:t>
        </w:r>
      </w:hyperlink>
    </w:p>
    <w:p w:rsidR="008B3C33" w:rsidRDefault="008B3C33" w:rsidP="008B3C33"/>
    <w:p w:rsidR="008B3C33" w:rsidRPr="008B3C33" w:rsidRDefault="008B3C33" w:rsidP="008B3C33">
      <w:hyperlink r:id="rId9" w:history="1">
        <w:r w:rsidRPr="008B3C33">
          <w:rPr>
            <w:rStyle w:val="Hyperlink"/>
          </w:rPr>
          <w:t>LEAP 1: LSC Internal Review-</w:t>
        </w:r>
        <w:r>
          <w:rPr>
            <w:rStyle w:val="Hyperlink"/>
          </w:rPr>
          <w:t>Remittance and Attestation</w:t>
        </w:r>
        <w:r w:rsidRPr="008B3C33">
          <w:rPr>
            <w:rStyle w:val="Hyperlink"/>
          </w:rPr>
          <w:t xml:space="preserve"> </w:t>
        </w:r>
        <w:r w:rsidRPr="008B3C33">
          <w:rPr>
            <w:rStyle w:val="Hyperlink"/>
          </w:rPr>
          <w:t>Form</w:t>
        </w:r>
      </w:hyperlink>
    </w:p>
    <w:p w:rsidR="00D804EC" w:rsidRDefault="00D804EC"/>
    <w:p w:rsidR="008B3C33" w:rsidRPr="008B3C33" w:rsidRDefault="008B3C33">
      <w:pPr>
        <w:rPr>
          <w:b/>
          <w:sz w:val="28"/>
          <w:szCs w:val="28"/>
        </w:rPr>
      </w:pPr>
      <w:r w:rsidRPr="008B3C33">
        <w:rPr>
          <w:b/>
          <w:sz w:val="28"/>
          <w:szCs w:val="28"/>
        </w:rPr>
        <w:t xml:space="preserve">LEAP 2 Requirements: </w:t>
      </w:r>
    </w:p>
    <w:p w:rsidR="008B3C33" w:rsidRDefault="008B3C33">
      <w:pPr>
        <w:rPr>
          <w:b/>
          <w:u w:val="single"/>
        </w:rPr>
      </w:pPr>
    </w:p>
    <w:p w:rsidR="008B3C33" w:rsidRDefault="008B3C33" w:rsidP="008B3C33">
      <w:pPr>
        <w:rPr>
          <w:b/>
          <w:bCs/>
          <w:u w:val="single"/>
        </w:rPr>
      </w:pPr>
      <w:r w:rsidRPr="008B3C33">
        <w:rPr>
          <w:b/>
          <w:bCs/>
          <w:u w:val="single"/>
        </w:rPr>
        <w:t>Quadrennial Budget: Required</w:t>
      </w:r>
    </w:p>
    <w:p w:rsidR="008B3C33" w:rsidRDefault="008B3C33" w:rsidP="008B3C33">
      <w:r w:rsidRPr="008B3C33">
        <w:t xml:space="preserve">Strategic planning requires a budget extending several years into the future. Many LSCs plan around the Olympic Quadrennial. </w:t>
      </w:r>
    </w:p>
    <w:p w:rsidR="00F805F8" w:rsidRPr="008B3C33" w:rsidRDefault="00F805F8" w:rsidP="008B3C33"/>
    <w:p w:rsidR="008B3C33" w:rsidRDefault="008B3C33" w:rsidP="008B3C33">
      <w:pPr>
        <w:rPr>
          <w:b/>
          <w:bCs/>
          <w:u w:val="single"/>
        </w:rPr>
      </w:pPr>
      <w:r w:rsidRPr="008B3C33">
        <w:rPr>
          <w:b/>
          <w:bCs/>
          <w:u w:val="single"/>
        </w:rPr>
        <w:t>*LSC Financial Assessment: Required</w:t>
      </w:r>
    </w:p>
    <w:p w:rsidR="008B3C33" w:rsidRPr="008B3C33" w:rsidRDefault="0040560D" w:rsidP="008B3C33">
      <w:r w:rsidRPr="008B3C33">
        <w:t xml:space="preserve">LSCs shall </w:t>
      </w:r>
      <w:r>
        <w:t>complete and</w:t>
      </w:r>
      <w:r w:rsidRPr="008B3C33">
        <w:t xml:space="preserve"> submit to USA Swimming an </w:t>
      </w:r>
      <w:bookmarkStart w:id="0" w:name="_GoBack"/>
      <w:bookmarkEnd w:id="0"/>
      <w:r w:rsidR="008B3C33" w:rsidRPr="008B3C33">
        <w:t xml:space="preserve">internal assessment, utilizing the LSC Financial Assessment Program (found on the financial reporting page of the USA Swimming website) shall be completed.  This will assist the LSC in providing a higher level of assurance that the LSC is operating efficiently, that assets are safeguarded, and the LSC is compliant with prescribed laws and policies. Individuals </w:t>
      </w:r>
      <w:r w:rsidR="008B3C33" w:rsidRPr="008B3C33">
        <w:lastRenderedPageBreak/>
        <w:t>associated with the LSC (Finance or Audit Committee) perfor</w:t>
      </w:r>
      <w:r w:rsidR="008B3C33">
        <w:t xml:space="preserve">m the LSC Assessment Program. </w:t>
      </w:r>
    </w:p>
    <w:p w:rsidR="008B3C33" w:rsidRPr="008B3C33" w:rsidRDefault="008B3C33" w:rsidP="008B3C33">
      <w:pPr>
        <w:rPr>
          <w:b/>
          <w:u w:val="single"/>
        </w:rPr>
      </w:pPr>
      <w:hyperlink r:id="rId10" w:history="1">
        <w:r w:rsidRPr="008B3C33">
          <w:rPr>
            <w:rStyle w:val="Hyperlink"/>
            <w:b/>
          </w:rPr>
          <w:t>LEAP 2: LSC Financial Assessment Program</w:t>
        </w:r>
      </w:hyperlink>
    </w:p>
    <w:p w:rsidR="008B3C33" w:rsidRDefault="008B3C33" w:rsidP="008B3C33">
      <w:pPr>
        <w:rPr>
          <w:b/>
          <w:u w:val="single"/>
        </w:rPr>
      </w:pPr>
    </w:p>
    <w:p w:rsidR="008B3C33" w:rsidRPr="008B3C33" w:rsidRDefault="008B3C33" w:rsidP="008B3C33">
      <w:pPr>
        <w:rPr>
          <w:b/>
        </w:rPr>
      </w:pPr>
      <w:r w:rsidRPr="008B3C33">
        <w:rPr>
          <w:b/>
        </w:rPr>
        <w:t xml:space="preserve">*NOTE: </w:t>
      </w:r>
      <w:r w:rsidRPr="008B3C33">
        <w:rPr>
          <w:b/>
          <w:bCs/>
        </w:rPr>
        <w:t>If you have an independent CPA performing a full external audit of the LSC Financials (as required by some states), then the LSC Financial Assessment is not necessary.</w:t>
      </w:r>
    </w:p>
    <w:p w:rsidR="008B3C33" w:rsidRPr="008B3C33" w:rsidRDefault="008B3C33" w:rsidP="008B3C33">
      <w:pPr>
        <w:rPr>
          <w:b/>
        </w:rPr>
      </w:pPr>
      <w:r w:rsidRPr="008B3C33">
        <w:rPr>
          <w:b/>
          <w:bCs/>
        </w:rPr>
        <w:t> </w:t>
      </w:r>
    </w:p>
    <w:p w:rsidR="008B3C33" w:rsidRDefault="008B3C33">
      <w:pPr>
        <w:rPr>
          <w:b/>
          <w:sz w:val="28"/>
          <w:szCs w:val="28"/>
        </w:rPr>
      </w:pPr>
    </w:p>
    <w:p w:rsidR="008B3C33" w:rsidRDefault="008B3C33">
      <w:pPr>
        <w:rPr>
          <w:b/>
          <w:sz w:val="28"/>
          <w:szCs w:val="28"/>
        </w:rPr>
      </w:pPr>
    </w:p>
    <w:p w:rsidR="008B3C33" w:rsidRPr="008B3C33" w:rsidRDefault="008B3C33">
      <w:pPr>
        <w:rPr>
          <w:b/>
          <w:sz w:val="28"/>
          <w:szCs w:val="28"/>
        </w:rPr>
      </w:pPr>
      <w:r w:rsidRPr="008B3C33">
        <w:rPr>
          <w:b/>
          <w:sz w:val="28"/>
          <w:szCs w:val="28"/>
        </w:rPr>
        <w:t>LEAP 3 Requirements:</w:t>
      </w:r>
    </w:p>
    <w:p w:rsidR="008B3C33" w:rsidRDefault="008B3C33">
      <w:pPr>
        <w:rPr>
          <w:b/>
          <w:u w:val="single"/>
        </w:rPr>
      </w:pPr>
    </w:p>
    <w:p w:rsidR="008B3C33" w:rsidRPr="008B3C33" w:rsidRDefault="008B3C33" w:rsidP="008B3C33">
      <w:pPr>
        <w:rPr>
          <w:b/>
          <w:u w:val="single"/>
        </w:rPr>
      </w:pPr>
      <w:r w:rsidRPr="008B3C33">
        <w:rPr>
          <w:b/>
          <w:bCs/>
          <w:u w:val="single"/>
        </w:rPr>
        <w:t>External Agreed Upon Procedures Audit</w:t>
      </w:r>
      <w:r w:rsidRPr="008B3C33">
        <w:rPr>
          <w:b/>
          <w:u w:val="single"/>
        </w:rPr>
        <w:t xml:space="preserve">: </w:t>
      </w:r>
      <w:r w:rsidRPr="008B3C33">
        <w:rPr>
          <w:b/>
          <w:bCs/>
          <w:u w:val="single"/>
        </w:rPr>
        <w:t>Required</w:t>
      </w:r>
    </w:p>
    <w:p w:rsidR="008B3C33" w:rsidRPr="008B3C33" w:rsidRDefault="008B3C33" w:rsidP="008B3C33">
      <w:r w:rsidRPr="008B3C33">
        <w:t xml:space="preserve">USA Swimming has arranged for an independent CPA to conduct an </w:t>
      </w:r>
      <w:r w:rsidRPr="008B3C33">
        <w:rPr>
          <w:i/>
          <w:iCs/>
        </w:rPr>
        <w:t xml:space="preserve">LSC Agreed Upon Procedures engagement, to verify that the LSC Financial Assessment Program was performed adequately by an internal group (Finance or Audit Committee). </w:t>
      </w:r>
      <w:r w:rsidRPr="008B3C33">
        <w:t xml:space="preserve">At the completion of the Agreed Upon Procedures engagement, the auditor will issue an opinion on whether the LSC is maintaining the internal controls verified by the LSC internal personnel in LEAP 2. </w:t>
      </w:r>
    </w:p>
    <w:p w:rsidR="008B3C33" w:rsidRPr="008B3C33" w:rsidRDefault="008B3C33" w:rsidP="008B3C33">
      <w:pPr>
        <w:rPr>
          <w:b/>
          <w:u w:val="single"/>
        </w:rPr>
      </w:pPr>
      <w:hyperlink r:id="rId11" w:history="1">
        <w:r w:rsidRPr="008B3C33">
          <w:rPr>
            <w:rStyle w:val="Hyperlink"/>
            <w:b/>
          </w:rPr>
          <w:t xml:space="preserve">LEAP 3: External Agreed </w:t>
        </w:r>
      </w:hyperlink>
      <w:hyperlink r:id="rId12" w:history="1">
        <w:r w:rsidRPr="008B3C33">
          <w:rPr>
            <w:rStyle w:val="Hyperlink"/>
            <w:b/>
          </w:rPr>
          <w:t>U</w:t>
        </w:r>
      </w:hyperlink>
      <w:hyperlink r:id="rId13" w:history="1">
        <w:r w:rsidRPr="008B3C33">
          <w:rPr>
            <w:rStyle w:val="Hyperlink"/>
            <w:b/>
          </w:rPr>
          <w:t xml:space="preserve">pon Procedures Audit </w:t>
        </w:r>
      </w:hyperlink>
      <w:hyperlink r:id="rId14" w:history="1">
        <w:r w:rsidRPr="008B3C33">
          <w:rPr>
            <w:rStyle w:val="Hyperlink"/>
            <w:b/>
          </w:rPr>
          <w:t>P</w:t>
        </w:r>
      </w:hyperlink>
      <w:hyperlink r:id="rId15" w:history="1">
        <w:r w:rsidRPr="008B3C33">
          <w:rPr>
            <w:rStyle w:val="Hyperlink"/>
            <w:b/>
          </w:rPr>
          <w:t>rogram</w:t>
        </w:r>
      </w:hyperlink>
    </w:p>
    <w:p w:rsidR="008B3C33" w:rsidRDefault="008B3C33" w:rsidP="008B3C33">
      <w:pPr>
        <w:rPr>
          <w:b/>
          <w:u w:val="single"/>
        </w:rPr>
      </w:pPr>
    </w:p>
    <w:p w:rsidR="008B3C33" w:rsidRPr="008B3C33" w:rsidRDefault="008B3C33" w:rsidP="008B3C33">
      <w:pPr>
        <w:rPr>
          <w:b/>
        </w:rPr>
      </w:pPr>
      <w:r w:rsidRPr="008B3C33">
        <w:rPr>
          <w:b/>
        </w:rPr>
        <w:t xml:space="preserve">*Note: If you have an independent CPA doing a full external audit of the LSC Financials (as required by some states), then the External Agreed Upon Procedures Audit is not necessary. </w:t>
      </w:r>
      <w:r w:rsidRPr="008B3C33">
        <w:rPr>
          <w:b/>
          <w:bCs/>
        </w:rPr>
        <w:t> </w:t>
      </w:r>
    </w:p>
    <w:p w:rsidR="008B3C33" w:rsidRPr="008B3C33" w:rsidRDefault="008B3C33" w:rsidP="008B3C33">
      <w:pPr>
        <w:rPr>
          <w:b/>
        </w:rPr>
      </w:pPr>
      <w:r w:rsidRPr="008B3C33">
        <w:rPr>
          <w:b/>
        </w:rPr>
        <w:t xml:space="preserve">An independent CPA who performs verification and substantiation procedures conducts an external audit or review.  An audit or review of the financial statements results in the auditor issuing a letter concerning the accuracy of the financial statements. </w:t>
      </w:r>
    </w:p>
    <w:p w:rsidR="008B3C33" w:rsidRPr="008B3C33" w:rsidRDefault="008B3C33" w:rsidP="008B3C33">
      <w:pPr>
        <w:rPr>
          <w:b/>
        </w:rPr>
      </w:pPr>
      <w:r w:rsidRPr="008B3C33">
        <w:rPr>
          <w:b/>
          <w:bCs/>
        </w:rPr>
        <w:t> </w:t>
      </w:r>
    </w:p>
    <w:p w:rsidR="008B3C33" w:rsidRPr="008B3C33" w:rsidRDefault="008B3C33">
      <w:pPr>
        <w:rPr>
          <w:b/>
        </w:rPr>
      </w:pPr>
    </w:p>
    <w:sectPr w:rsidR="008B3C33" w:rsidRPr="008B3C33" w:rsidSect="00DF41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F4C"/>
    <w:multiLevelType w:val="hybridMultilevel"/>
    <w:tmpl w:val="24FE7660"/>
    <w:lvl w:ilvl="0" w:tplc="B7606634">
      <w:start w:val="1"/>
      <w:numFmt w:val="bullet"/>
      <w:lvlText w:val="•"/>
      <w:lvlJc w:val="left"/>
      <w:pPr>
        <w:tabs>
          <w:tab w:val="num" w:pos="360"/>
        </w:tabs>
        <w:ind w:left="360" w:hanging="360"/>
      </w:pPr>
      <w:rPr>
        <w:rFonts w:ascii="Arial" w:hAnsi="Arial" w:hint="default"/>
      </w:rPr>
    </w:lvl>
    <w:lvl w:ilvl="1" w:tplc="7924C9A8" w:tentative="1">
      <w:start w:val="1"/>
      <w:numFmt w:val="bullet"/>
      <w:lvlText w:val="•"/>
      <w:lvlJc w:val="left"/>
      <w:pPr>
        <w:tabs>
          <w:tab w:val="num" w:pos="1080"/>
        </w:tabs>
        <w:ind w:left="1080" w:hanging="360"/>
      </w:pPr>
      <w:rPr>
        <w:rFonts w:ascii="Arial" w:hAnsi="Arial" w:hint="default"/>
      </w:rPr>
    </w:lvl>
    <w:lvl w:ilvl="2" w:tplc="B2A8666A" w:tentative="1">
      <w:start w:val="1"/>
      <w:numFmt w:val="bullet"/>
      <w:lvlText w:val="•"/>
      <w:lvlJc w:val="left"/>
      <w:pPr>
        <w:tabs>
          <w:tab w:val="num" w:pos="1800"/>
        </w:tabs>
        <w:ind w:left="1800" w:hanging="360"/>
      </w:pPr>
      <w:rPr>
        <w:rFonts w:ascii="Arial" w:hAnsi="Arial" w:hint="default"/>
      </w:rPr>
    </w:lvl>
    <w:lvl w:ilvl="3" w:tplc="66AC3A52" w:tentative="1">
      <w:start w:val="1"/>
      <w:numFmt w:val="bullet"/>
      <w:lvlText w:val="•"/>
      <w:lvlJc w:val="left"/>
      <w:pPr>
        <w:tabs>
          <w:tab w:val="num" w:pos="2520"/>
        </w:tabs>
        <w:ind w:left="2520" w:hanging="360"/>
      </w:pPr>
      <w:rPr>
        <w:rFonts w:ascii="Arial" w:hAnsi="Arial" w:hint="default"/>
      </w:rPr>
    </w:lvl>
    <w:lvl w:ilvl="4" w:tplc="C204C24A" w:tentative="1">
      <w:start w:val="1"/>
      <w:numFmt w:val="bullet"/>
      <w:lvlText w:val="•"/>
      <w:lvlJc w:val="left"/>
      <w:pPr>
        <w:tabs>
          <w:tab w:val="num" w:pos="3240"/>
        </w:tabs>
        <w:ind w:left="3240" w:hanging="360"/>
      </w:pPr>
      <w:rPr>
        <w:rFonts w:ascii="Arial" w:hAnsi="Arial" w:hint="default"/>
      </w:rPr>
    </w:lvl>
    <w:lvl w:ilvl="5" w:tplc="01BA9030" w:tentative="1">
      <w:start w:val="1"/>
      <w:numFmt w:val="bullet"/>
      <w:lvlText w:val="•"/>
      <w:lvlJc w:val="left"/>
      <w:pPr>
        <w:tabs>
          <w:tab w:val="num" w:pos="3960"/>
        </w:tabs>
        <w:ind w:left="3960" w:hanging="360"/>
      </w:pPr>
      <w:rPr>
        <w:rFonts w:ascii="Arial" w:hAnsi="Arial" w:hint="default"/>
      </w:rPr>
    </w:lvl>
    <w:lvl w:ilvl="6" w:tplc="FFA630BA" w:tentative="1">
      <w:start w:val="1"/>
      <w:numFmt w:val="bullet"/>
      <w:lvlText w:val="•"/>
      <w:lvlJc w:val="left"/>
      <w:pPr>
        <w:tabs>
          <w:tab w:val="num" w:pos="4680"/>
        </w:tabs>
        <w:ind w:left="4680" w:hanging="360"/>
      </w:pPr>
      <w:rPr>
        <w:rFonts w:ascii="Arial" w:hAnsi="Arial" w:hint="default"/>
      </w:rPr>
    </w:lvl>
    <w:lvl w:ilvl="7" w:tplc="AED6F590" w:tentative="1">
      <w:start w:val="1"/>
      <w:numFmt w:val="bullet"/>
      <w:lvlText w:val="•"/>
      <w:lvlJc w:val="left"/>
      <w:pPr>
        <w:tabs>
          <w:tab w:val="num" w:pos="5400"/>
        </w:tabs>
        <w:ind w:left="5400" w:hanging="360"/>
      </w:pPr>
      <w:rPr>
        <w:rFonts w:ascii="Arial" w:hAnsi="Arial" w:hint="default"/>
      </w:rPr>
    </w:lvl>
    <w:lvl w:ilvl="8" w:tplc="23AA94EA"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33"/>
    <w:rsid w:val="00331F34"/>
    <w:rsid w:val="0040560D"/>
    <w:rsid w:val="007C49AE"/>
    <w:rsid w:val="008B3C33"/>
    <w:rsid w:val="00D804EC"/>
    <w:rsid w:val="00DF414D"/>
    <w:rsid w:val="00F8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DA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C33"/>
    <w:rPr>
      <w:color w:val="0000FF" w:themeColor="hyperlink"/>
      <w:u w:val="single"/>
    </w:rPr>
  </w:style>
  <w:style w:type="character" w:styleId="FollowedHyperlink">
    <w:name w:val="FollowedHyperlink"/>
    <w:basedOn w:val="DefaultParagraphFont"/>
    <w:uiPriority w:val="99"/>
    <w:semiHidden/>
    <w:unhideWhenUsed/>
    <w:rsid w:val="008B3C33"/>
    <w:rPr>
      <w:color w:val="800080" w:themeColor="followedHyperlink"/>
      <w:u w:val="single"/>
    </w:rPr>
  </w:style>
  <w:style w:type="paragraph" w:styleId="NormalWeb">
    <w:name w:val="Normal (Web)"/>
    <w:basedOn w:val="Normal"/>
    <w:uiPriority w:val="99"/>
    <w:unhideWhenUsed/>
    <w:rsid w:val="008B3C3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B3C33"/>
  </w:style>
  <w:style w:type="character" w:customStyle="1" w:styleId="crpheader">
    <w:name w:val="crpheader"/>
    <w:basedOn w:val="DefaultParagraphFont"/>
    <w:rsid w:val="008B3C33"/>
  </w:style>
  <w:style w:type="character" w:customStyle="1" w:styleId="crpsmallheader">
    <w:name w:val="crpsmallheader"/>
    <w:basedOn w:val="DefaultParagraphFont"/>
    <w:rsid w:val="008B3C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C33"/>
    <w:rPr>
      <w:color w:val="0000FF" w:themeColor="hyperlink"/>
      <w:u w:val="single"/>
    </w:rPr>
  </w:style>
  <w:style w:type="character" w:styleId="FollowedHyperlink">
    <w:name w:val="FollowedHyperlink"/>
    <w:basedOn w:val="DefaultParagraphFont"/>
    <w:uiPriority w:val="99"/>
    <w:semiHidden/>
    <w:unhideWhenUsed/>
    <w:rsid w:val="008B3C33"/>
    <w:rPr>
      <w:color w:val="800080" w:themeColor="followedHyperlink"/>
      <w:u w:val="single"/>
    </w:rPr>
  </w:style>
  <w:style w:type="paragraph" w:styleId="NormalWeb">
    <w:name w:val="Normal (Web)"/>
    <w:basedOn w:val="Normal"/>
    <w:uiPriority w:val="99"/>
    <w:unhideWhenUsed/>
    <w:rsid w:val="008B3C3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B3C33"/>
  </w:style>
  <w:style w:type="character" w:customStyle="1" w:styleId="crpheader">
    <w:name w:val="crpheader"/>
    <w:basedOn w:val="DefaultParagraphFont"/>
    <w:rsid w:val="008B3C33"/>
  </w:style>
  <w:style w:type="character" w:customStyle="1" w:styleId="crpsmallheader">
    <w:name w:val="crpsmallheader"/>
    <w:basedOn w:val="DefaultParagraphFont"/>
    <w:rsid w:val="008B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5370">
      <w:bodyDiv w:val="1"/>
      <w:marLeft w:val="0"/>
      <w:marRight w:val="0"/>
      <w:marTop w:val="0"/>
      <w:marBottom w:val="0"/>
      <w:divBdr>
        <w:top w:val="none" w:sz="0" w:space="0" w:color="auto"/>
        <w:left w:val="none" w:sz="0" w:space="0" w:color="auto"/>
        <w:bottom w:val="none" w:sz="0" w:space="0" w:color="auto"/>
        <w:right w:val="none" w:sz="0" w:space="0" w:color="auto"/>
      </w:divBdr>
      <w:divsChild>
        <w:div w:id="326398375">
          <w:marLeft w:val="0"/>
          <w:marRight w:val="0"/>
          <w:marTop w:val="0"/>
          <w:marBottom w:val="0"/>
          <w:divBdr>
            <w:top w:val="none" w:sz="0" w:space="0" w:color="auto"/>
            <w:left w:val="none" w:sz="0" w:space="0" w:color="auto"/>
            <w:bottom w:val="none" w:sz="0" w:space="0" w:color="auto"/>
            <w:right w:val="none" w:sz="0" w:space="0" w:color="auto"/>
          </w:divBdr>
        </w:div>
      </w:divsChild>
    </w:div>
    <w:div w:id="428086727">
      <w:bodyDiv w:val="1"/>
      <w:marLeft w:val="0"/>
      <w:marRight w:val="0"/>
      <w:marTop w:val="0"/>
      <w:marBottom w:val="0"/>
      <w:divBdr>
        <w:top w:val="none" w:sz="0" w:space="0" w:color="auto"/>
        <w:left w:val="none" w:sz="0" w:space="0" w:color="auto"/>
        <w:bottom w:val="none" w:sz="0" w:space="0" w:color="auto"/>
        <w:right w:val="none" w:sz="0" w:space="0" w:color="auto"/>
      </w:divBdr>
      <w:divsChild>
        <w:div w:id="1263411970">
          <w:marLeft w:val="547"/>
          <w:marRight w:val="0"/>
          <w:marTop w:val="67"/>
          <w:marBottom w:val="0"/>
          <w:divBdr>
            <w:top w:val="none" w:sz="0" w:space="0" w:color="auto"/>
            <w:left w:val="none" w:sz="0" w:space="0" w:color="auto"/>
            <w:bottom w:val="none" w:sz="0" w:space="0" w:color="auto"/>
            <w:right w:val="none" w:sz="0" w:space="0" w:color="auto"/>
          </w:divBdr>
        </w:div>
      </w:divsChild>
    </w:div>
    <w:div w:id="523831618">
      <w:bodyDiv w:val="1"/>
      <w:marLeft w:val="0"/>
      <w:marRight w:val="0"/>
      <w:marTop w:val="0"/>
      <w:marBottom w:val="0"/>
      <w:divBdr>
        <w:top w:val="none" w:sz="0" w:space="0" w:color="auto"/>
        <w:left w:val="none" w:sz="0" w:space="0" w:color="auto"/>
        <w:bottom w:val="none" w:sz="0" w:space="0" w:color="auto"/>
        <w:right w:val="none" w:sz="0" w:space="0" w:color="auto"/>
      </w:divBdr>
    </w:div>
    <w:div w:id="1660618383">
      <w:bodyDiv w:val="1"/>
      <w:marLeft w:val="0"/>
      <w:marRight w:val="0"/>
      <w:marTop w:val="0"/>
      <w:marBottom w:val="0"/>
      <w:divBdr>
        <w:top w:val="none" w:sz="0" w:space="0" w:color="auto"/>
        <w:left w:val="none" w:sz="0" w:space="0" w:color="auto"/>
        <w:bottom w:val="none" w:sz="0" w:space="0" w:color="auto"/>
        <w:right w:val="none" w:sz="0" w:space="0" w:color="auto"/>
      </w:divBdr>
    </w:div>
    <w:div w:id="1915238233">
      <w:bodyDiv w:val="1"/>
      <w:marLeft w:val="0"/>
      <w:marRight w:val="0"/>
      <w:marTop w:val="0"/>
      <w:marBottom w:val="0"/>
      <w:divBdr>
        <w:top w:val="none" w:sz="0" w:space="0" w:color="auto"/>
        <w:left w:val="none" w:sz="0" w:space="0" w:color="auto"/>
        <w:bottom w:val="none" w:sz="0" w:space="0" w:color="auto"/>
        <w:right w:val="none" w:sz="0" w:space="0" w:color="auto"/>
      </w:divBdr>
    </w:div>
    <w:div w:id="2037465513">
      <w:bodyDiv w:val="1"/>
      <w:marLeft w:val="0"/>
      <w:marRight w:val="0"/>
      <w:marTop w:val="0"/>
      <w:marBottom w:val="0"/>
      <w:divBdr>
        <w:top w:val="none" w:sz="0" w:space="0" w:color="auto"/>
        <w:left w:val="none" w:sz="0" w:space="0" w:color="auto"/>
        <w:bottom w:val="none" w:sz="0" w:space="0" w:color="auto"/>
        <w:right w:val="none" w:sz="0" w:space="0" w:color="auto"/>
      </w:divBdr>
    </w:div>
    <w:div w:id="2145388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aswimming.org/DesktopDefault.aspx?TabId=1525&amp;Alias=Rainbow&amp;Lang=en" TargetMode="External"/><Relationship Id="rId12" Type="http://schemas.openxmlformats.org/officeDocument/2006/relationships/hyperlink" Target="http://www.usaswimming.org/DesktopDefault.aspx?TabId=1525&amp;Alias=Rainbow&amp;Lang=en" TargetMode="External"/><Relationship Id="rId13" Type="http://schemas.openxmlformats.org/officeDocument/2006/relationships/hyperlink" Target="http://www.usaswimming.org/DesktopDefault.aspx?TabId=1525&amp;Alias=Rainbow&amp;Lang=en" TargetMode="External"/><Relationship Id="rId14" Type="http://schemas.openxmlformats.org/officeDocument/2006/relationships/hyperlink" Target="http://www.usaswimming.org/DesktopDefault.aspx?TabId=1525&amp;Alias=Rainbow&amp;Lang=en" TargetMode="External"/><Relationship Id="rId15" Type="http://schemas.openxmlformats.org/officeDocument/2006/relationships/hyperlink" Target="http://www.usaswimming.org/DesktopDefault.aspx?TabId=1525&amp;Alias=Rainbow&amp;Lang=e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SC990andfinancials@usaswimming.org" TargetMode="External"/><Relationship Id="rId7" Type="http://schemas.openxmlformats.org/officeDocument/2006/relationships/hyperlink" Target="mailto:LSC990andfinancials@usaswimming.org" TargetMode="External"/><Relationship Id="rId8" Type="http://schemas.openxmlformats.org/officeDocument/2006/relationships/hyperlink" Target="mailto:LSC990andfinancials@usaswimming.org" TargetMode="External"/><Relationship Id="rId9" Type="http://schemas.openxmlformats.org/officeDocument/2006/relationships/hyperlink" Target="http://www.usaswimming.org/DesktopDefault.aspx?TabId=1525&amp;Alias=Rainbow&amp;Lang=en" TargetMode="External"/><Relationship Id="rId10" Type="http://schemas.openxmlformats.org/officeDocument/2006/relationships/hyperlink" Target="http://www.usaswimming.org/DesktopDefault.aspx?TabId=1525&amp;Alias=Rainbow&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631</Words>
  <Characters>3603</Characters>
  <Application>Microsoft Macintosh Word</Application>
  <DocSecurity>0</DocSecurity>
  <Lines>30</Lines>
  <Paragraphs>8</Paragraphs>
  <ScaleCrop>false</ScaleCrop>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2017-02-28T15:37:00Z</dcterms:created>
  <dcterms:modified xsi:type="dcterms:W3CDTF">2017-02-28T16:31:00Z</dcterms:modified>
</cp:coreProperties>
</file>