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A" w:rsidRDefault="0021270C" w:rsidP="00511EEA">
      <w:pPr>
        <w:pStyle w:val="Heading2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C2341E">
            <wp:extent cx="1420495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D0B" w:rsidRPr="00A35D0B" w:rsidRDefault="00A35D0B" w:rsidP="00A35D0B"/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Are You Plugged in to Kids’ Electrical Hazards?</w:t>
      </w: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year across the United States approximately 2,400 children are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admitted to hospital emergency wards with injuries associated with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plugging foreign objects into electrical receptacles. That works out to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seven children each day, with 95% of their injuries involving electrical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burns.</w:t>
      </w:r>
    </w:p>
    <w:p w:rsidR="009300FD" w:rsidRDefault="009300FD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00FD" w:rsidRDefault="00A35D0B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4" name="Picture 4" descr="C:\Documents and Settings\h0011631\My Documents\My Pictures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0011631\My Documents\My Pictures\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10" name="Picture 10" descr="C:\Documents and Settings\h0011631\My Documents\My Pictures\thumbnailCAAK9X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0011631\My Documents\My Pictures\thumbnailCAAK9XK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FD" w:rsidRDefault="009300FD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00FD" w:rsidRDefault="009300FD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According to the US Consumer Product Safety Commission, more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than 70% of these potentially fatal incidents occur in the presence of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 adult. The most common foreign objects inserted into electrical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outlets include the following: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Hairpins/bobby pins (32%)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Keys (17%)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Fingers (12%)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Pins, wires, screws, or nails (11%)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Plugs (11%)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Unidentified objects (8%)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Paper clips or staples (5%)</w:t>
      </w:r>
    </w:p>
    <w:p w:rsidR="0063287A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Tools such as tweezers, files, or knives (3%)</w:t>
      </w:r>
    </w:p>
    <w:p w:rsidR="00257066" w:rsidRDefault="00257066" w:rsidP="0025706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287A">
        <w:rPr>
          <w:rFonts w:ascii="Arial" w:hAnsi="Arial" w:cs="Arial"/>
          <w:sz w:val="28"/>
          <w:szCs w:val="28"/>
        </w:rPr>
        <w:t>Jewelry or belt buckles (1%)</w:t>
      </w:r>
    </w:p>
    <w:p w:rsidR="0063287A" w:rsidRPr="0063287A" w:rsidRDefault="0063287A" w:rsidP="0063287A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Electrical Safety Foundation International (ESFI) notes that many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parents think they can address the electrocution risk by inserting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plastic outlet caps into receptacles that fall within a baby or toddler's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reach. However, an inquisitive baby can soon pry a cap loose and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move on to "exploring" the receptacle.</w:t>
      </w:r>
    </w:p>
    <w:p w:rsidR="00675387" w:rsidRDefault="00675387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00FD" w:rsidRDefault="00A35D0B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95550" cy="2333625"/>
            <wp:effectExtent l="19050" t="0" r="0" b="0"/>
            <wp:docPr id="5" name="Picture 5" descr="C:\Documents and Settings\h0011631\My Documents\My Pictures\thumbnailCAREX5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0011631\My Documents\My Pictures\thumbnailCAREX5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57500" cy="2333625"/>
            <wp:effectExtent l="19050" t="0" r="0" b="0"/>
            <wp:docPr id="6" name="Picture 6" descr="C:\Documents and Settings\h0011631\My Documents\My Pictures\thumbnailCA9WA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0011631\My Documents\My Pictures\thumbnailCA9WAF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FD" w:rsidRDefault="009300FD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00FD" w:rsidRDefault="009300FD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287A" w:rsidRDefault="0063287A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safer solution is installing tamper-resistant outlets. These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specialized outlets have been so effective in preventing injuries to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children that the 2008 National Electrical Code requires that tamper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resistant outlets be installed in all new homes constructed," says</w:t>
      </w:r>
      <w:r w:rsidR="00632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ESFI.</w:t>
      </w:r>
    </w:p>
    <w:p w:rsidR="00675387" w:rsidRDefault="00675387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75387" w:rsidRDefault="00A35D0B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09800" cy="2457450"/>
            <wp:effectExtent l="19050" t="0" r="0" b="0"/>
            <wp:docPr id="12" name="Picture 12" descr="C:\Documents and Settings\h0011631\My Documents\My Pictures\thumbnailCAR653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0011631\My Documents\My Pictures\thumbnailCAR653Z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387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95425" cy="2333625"/>
            <wp:effectExtent l="19050" t="0" r="9525" b="0"/>
            <wp:docPr id="14" name="Picture 14" descr="C:\Documents and Settings\h0011631\My Documents\My Pictures\thumbnailCAOJRQ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0011631\My Documents\My Pictures\thumbnailCAOJRQY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7A" w:rsidRPr="0063287A" w:rsidRDefault="0063287A" w:rsidP="002570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These devices are not expensive and can be retrofitted into older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homes. They employ a spring-loaded shutter mechanism that only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allows electricity to flow when equal pressure is applied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simultaneously to both shutters (for example, when an electrical plug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is inserted). During unused conditions, both shutters are closed and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openings are covered.</w:t>
      </w:r>
    </w:p>
    <w:p w:rsidR="0063287A" w:rsidRDefault="0063287A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Even the most careful parent or grandparent cannot watch a child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every second. During those seconds when you aren't watching,</w:t>
      </w:r>
      <w:r w:rsidR="006328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tamper-resistant outlets can help cover for you.</w:t>
      </w:r>
    </w:p>
    <w:p w:rsidR="00257066" w:rsidRDefault="00257066" w:rsidP="0025706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Read more about tamper-resistant receptacles at</w:t>
      </w:r>
    </w:p>
    <w:p w:rsidR="00257066" w:rsidRDefault="0021270C" w:rsidP="00257066">
      <w:pPr>
        <w:rPr>
          <w:rFonts w:ascii="Arial" w:hAnsi="Arial" w:cs="Arial"/>
          <w:color w:val="000000"/>
          <w:sz w:val="28"/>
          <w:szCs w:val="28"/>
        </w:rPr>
      </w:pPr>
      <w:hyperlink r:id="rId15" w:history="1">
        <w:r w:rsidR="00A35D0B" w:rsidRPr="00635B1B">
          <w:rPr>
            <w:rStyle w:val="Hyperlink"/>
            <w:rFonts w:ascii="Arial" w:hAnsi="Arial" w:cs="Arial"/>
            <w:sz w:val="28"/>
            <w:szCs w:val="28"/>
          </w:rPr>
          <w:t>http://www.childoutletsafety.org/</w:t>
        </w:r>
      </w:hyperlink>
      <w:r w:rsidR="00257066">
        <w:rPr>
          <w:rFonts w:ascii="Arial" w:hAnsi="Arial" w:cs="Arial"/>
          <w:color w:val="000000"/>
          <w:sz w:val="28"/>
          <w:szCs w:val="28"/>
        </w:rPr>
        <w:t>.</w:t>
      </w: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Default="00A35D0B" w:rsidP="00257066">
      <w:pPr>
        <w:rPr>
          <w:rFonts w:ascii="Arial" w:hAnsi="Arial" w:cs="Arial"/>
          <w:color w:val="000000"/>
          <w:sz w:val="28"/>
          <w:szCs w:val="28"/>
        </w:rPr>
      </w:pPr>
    </w:p>
    <w:p w:rsidR="00A35D0B" w:rsidRPr="00A35D0B" w:rsidRDefault="00A35D0B" w:rsidP="00257066">
      <w:pPr>
        <w:rPr>
          <w:sz w:val="28"/>
          <w:szCs w:val="28"/>
        </w:rPr>
      </w:pPr>
      <w:r w:rsidRPr="00A35D0B">
        <w:rPr>
          <w:rFonts w:ascii="Arial" w:hAnsi="Arial" w:cs="Arial"/>
          <w:color w:val="000000"/>
          <w:sz w:val="28"/>
          <w:szCs w:val="28"/>
        </w:rPr>
        <w:t xml:space="preserve">This information is </w:t>
      </w:r>
      <w:r w:rsidR="00BC5339">
        <w:rPr>
          <w:rFonts w:ascii="Arial" w:hAnsi="Arial" w:cs="Arial"/>
          <w:color w:val="000000"/>
          <w:sz w:val="28"/>
          <w:szCs w:val="28"/>
        </w:rPr>
        <w:t xml:space="preserve">provided </w:t>
      </w:r>
      <w:r w:rsidRPr="00A35D0B">
        <w:rPr>
          <w:rFonts w:ascii="Arial" w:hAnsi="Arial" w:cs="Arial"/>
          <w:color w:val="000000"/>
          <w:sz w:val="28"/>
          <w:szCs w:val="28"/>
        </w:rPr>
        <w:t xml:space="preserve">to you by the </w:t>
      </w:r>
      <w:r w:rsidR="0021270C">
        <w:rPr>
          <w:rFonts w:ascii="Arial" w:hAnsi="Arial" w:cs="Arial"/>
          <w:color w:val="000000"/>
          <w:sz w:val="28"/>
          <w:szCs w:val="28"/>
        </w:rPr>
        <w:t xml:space="preserve">IES Safety </w:t>
      </w:r>
      <w:r w:rsidRPr="00A35D0B">
        <w:rPr>
          <w:rFonts w:ascii="Arial" w:hAnsi="Arial" w:cs="Arial"/>
          <w:color w:val="000000"/>
          <w:sz w:val="28"/>
          <w:szCs w:val="28"/>
        </w:rPr>
        <w:t>Committee</w:t>
      </w:r>
    </w:p>
    <w:sectPr w:rsidR="00A35D0B" w:rsidRPr="00A35D0B" w:rsidSect="00F300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F6" w:rsidRDefault="00C123F6" w:rsidP="0063287A">
      <w:r>
        <w:separator/>
      </w:r>
    </w:p>
  </w:endnote>
  <w:endnote w:type="continuationSeparator" w:id="0">
    <w:p w:rsidR="00C123F6" w:rsidRDefault="00C123F6" w:rsidP="006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F6" w:rsidRDefault="00C123F6" w:rsidP="0063287A">
      <w:r>
        <w:separator/>
      </w:r>
    </w:p>
  </w:footnote>
  <w:footnote w:type="continuationSeparator" w:id="0">
    <w:p w:rsidR="00C123F6" w:rsidRDefault="00C123F6" w:rsidP="006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C9"/>
    <w:multiLevelType w:val="hybridMultilevel"/>
    <w:tmpl w:val="1AE66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57ED"/>
    <w:multiLevelType w:val="hybridMultilevel"/>
    <w:tmpl w:val="B8DC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EA"/>
    <w:rsid w:val="0021270C"/>
    <w:rsid w:val="00257066"/>
    <w:rsid w:val="00511EEA"/>
    <w:rsid w:val="0063287A"/>
    <w:rsid w:val="00675387"/>
    <w:rsid w:val="008F2AC3"/>
    <w:rsid w:val="009300FD"/>
    <w:rsid w:val="00A35D0B"/>
    <w:rsid w:val="00BC5339"/>
    <w:rsid w:val="00C123F6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0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1EEA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511EEA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632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87A"/>
    <w:rPr>
      <w:sz w:val="24"/>
      <w:szCs w:val="24"/>
    </w:rPr>
  </w:style>
  <w:style w:type="paragraph" w:styleId="Footer">
    <w:name w:val="footer"/>
    <w:basedOn w:val="Normal"/>
    <w:link w:val="FooterChar"/>
    <w:rsid w:val="00632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87A"/>
    <w:rPr>
      <w:sz w:val="24"/>
      <w:szCs w:val="24"/>
    </w:rPr>
  </w:style>
  <w:style w:type="character" w:styleId="Hyperlink">
    <w:name w:val="Hyperlink"/>
    <w:basedOn w:val="DefaultParagraphFont"/>
    <w:rsid w:val="00A35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F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0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1EEA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511EEA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632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87A"/>
    <w:rPr>
      <w:sz w:val="24"/>
      <w:szCs w:val="24"/>
    </w:rPr>
  </w:style>
  <w:style w:type="paragraph" w:styleId="Footer">
    <w:name w:val="footer"/>
    <w:basedOn w:val="Normal"/>
    <w:link w:val="FooterChar"/>
    <w:rsid w:val="00632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87A"/>
    <w:rPr>
      <w:sz w:val="24"/>
      <w:szCs w:val="24"/>
    </w:rPr>
  </w:style>
  <w:style w:type="character" w:styleId="Hyperlink">
    <w:name w:val="Hyperlink"/>
    <w:basedOn w:val="DefaultParagraphFont"/>
    <w:rsid w:val="00A35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F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hildoutletsafety.org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Closure Hanford, LLC.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daking</dc:creator>
  <cp:lastModifiedBy>h0011631</cp:lastModifiedBy>
  <cp:revision>2</cp:revision>
  <dcterms:created xsi:type="dcterms:W3CDTF">2013-10-21T16:03:00Z</dcterms:created>
  <dcterms:modified xsi:type="dcterms:W3CDTF">2013-10-21T16:03:00Z</dcterms:modified>
</cp:coreProperties>
</file>