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390CB39C" w:rsidR="007C783C" w:rsidRPr="007C783C" w:rsidRDefault="000D36E1" w:rsidP="007C783C">
          <w:pPr>
            <w:jc w:val="center"/>
            <w:rPr>
              <w:b/>
              <w:sz w:val="24"/>
              <w:szCs w:val="24"/>
            </w:rPr>
          </w:pPr>
          <w:r>
            <w:rPr>
              <w:b/>
              <w:sz w:val="24"/>
              <w:szCs w:val="24"/>
              <w:highlight w:val="lightGray"/>
            </w:rPr>
            <w:t>Lincoln</w:t>
          </w:r>
          <w:r w:rsidR="00F84A75">
            <w:rPr>
              <w:b/>
              <w:sz w:val="24"/>
              <w:szCs w:val="24"/>
              <w:highlight w:val="lightGray"/>
            </w:rPr>
            <w:t>-</w:t>
          </w:r>
          <w:r>
            <w:rPr>
              <w:b/>
              <w:sz w:val="24"/>
              <w:szCs w:val="24"/>
              <w:highlight w:val="lightGray"/>
            </w:rPr>
            <w:t>Way Swim Association</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587C99B4"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sdt>
                <w:sdtPr>
                  <w:rPr>
                    <w:b/>
                    <w:sz w:val="24"/>
                    <w:szCs w:val="24"/>
                    <w:highlight w:val="lightGray"/>
                  </w:rPr>
                  <w:id w:val="-1310388111"/>
                  <w:placeholder>
                    <w:docPart w:val="02166420502A418A83017931D6918D88"/>
                  </w:placeholder>
                </w:sdtPr>
                <w:sdtEndPr/>
                <w:sdtContent>
                  <w:r w:rsidR="0069178C">
                    <w:rPr>
                      <w:b/>
                      <w:sz w:val="24"/>
                      <w:szCs w:val="24"/>
                      <w:highlight w:val="lightGray"/>
                    </w:rPr>
                    <w:t>Lincoln-Way Swim Assoc</w:t>
                  </w:r>
                  <w:r w:rsidR="00EA301B">
                    <w:rPr>
                      <w:b/>
                      <w:sz w:val="24"/>
                      <w:szCs w:val="24"/>
                      <w:highlight w:val="lightGray"/>
                    </w:rPr>
                    <w:t>iation</w:t>
                  </w:r>
                </w:sdtContent>
              </w:sdt>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5027178"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EA301B">
            <w:rPr>
              <w:b/>
              <w:sz w:val="24"/>
              <w:szCs w:val="24"/>
              <w:highlight w:val="lightGray"/>
            </w:rPr>
            <w:t>Lincoln-Way Swim Association</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2C3B3965" w:rsidR="00FB7E40" w:rsidRDefault="00FB7E40" w:rsidP="000D36E1">
          <w:pPr>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EA301B"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48EEBBEF" w:rsidR="008E48FD" w:rsidRPr="008E48FD" w:rsidRDefault="00EA301B"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1C0E" w14:textId="77777777" w:rsidR="00A25FBF" w:rsidRDefault="00A25FBF" w:rsidP="0075197C">
      <w:r>
        <w:separator/>
      </w:r>
    </w:p>
  </w:endnote>
  <w:endnote w:type="continuationSeparator" w:id="0">
    <w:p w14:paraId="421C2325" w14:textId="77777777" w:rsidR="00A25FBF" w:rsidRDefault="00A25FB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336F" w14:textId="77777777" w:rsidR="00A25FBF" w:rsidRDefault="00A25FBF" w:rsidP="0075197C">
      <w:r>
        <w:separator/>
      </w:r>
    </w:p>
  </w:footnote>
  <w:footnote w:type="continuationSeparator" w:id="0">
    <w:p w14:paraId="03815117" w14:textId="77777777" w:rsidR="00A25FBF" w:rsidRDefault="00A25FBF"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D36E1"/>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178C"/>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25FBF"/>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01B"/>
    <w:rsid w:val="00EA3DBA"/>
    <w:rsid w:val="00EE0798"/>
    <w:rsid w:val="00F018A5"/>
    <w:rsid w:val="00F713CB"/>
    <w:rsid w:val="00F84A75"/>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EA30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
      <w:docPartPr>
        <w:name w:val="02166420502A418A83017931D6918D88"/>
        <w:category>
          <w:name w:val="General"/>
          <w:gallery w:val="placeholder"/>
        </w:category>
        <w:types>
          <w:type w:val="bbPlcHdr"/>
        </w:types>
        <w:behaviors>
          <w:behavior w:val="content"/>
        </w:behaviors>
        <w:guid w:val="{5D9C4DD2-F57E-499F-ADD7-A4582A8E306F}"/>
      </w:docPartPr>
      <w:docPartBody>
        <w:p w:rsidR="00EB1CFC" w:rsidRDefault="00852C66" w:rsidP="00852C66">
          <w:pPr>
            <w:pStyle w:val="02166420502A418A83017931D6918D88"/>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7C77CE"/>
    <w:rsid w:val="00852C66"/>
    <w:rsid w:val="00EB1CFC"/>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C6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 w:type="paragraph" w:customStyle="1" w:styleId="02166420502A418A83017931D6918D88">
    <w:name w:val="02166420502A418A83017931D6918D88"/>
    <w:rsid w:val="00852C66"/>
  </w:style>
  <w:style w:type="paragraph" w:customStyle="1" w:styleId="0AC92ADBE4DE4BE6A90B871D6969BB0C">
    <w:name w:val="0AC92ADBE4DE4BE6A90B871D6969BB0C"/>
    <w:rsid w:val="00852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Eric Trautvetter</cp:lastModifiedBy>
  <cp:revision>16</cp:revision>
  <cp:lastPrinted>2019-04-26T19:19:00Z</cp:lastPrinted>
  <dcterms:created xsi:type="dcterms:W3CDTF">2021-05-26T15:27:00Z</dcterms:created>
  <dcterms:modified xsi:type="dcterms:W3CDTF">2021-12-12T16:04:00Z</dcterms:modified>
</cp:coreProperties>
</file>