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A38D4" w:rsidRDefault="00DA38D4" w:rsidP="002B4C08">
      <w:pPr>
        <w:rPr>
          <w:b/>
          <w:i/>
          <w:sz w:val="32"/>
          <w:szCs w:val="32"/>
        </w:rPr>
      </w:pPr>
      <w:bookmarkStart w:id="0" w:name="_GoBack"/>
      <w:bookmarkEnd w:id="0"/>
    </w:p>
    <w:p w:rsidR="00DA38D4" w:rsidRDefault="00DA38D4" w:rsidP="00DA38D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615184" cy="1133856"/>
            <wp:effectExtent l="25400" t="0" r="1016" b="0"/>
            <wp:docPr id="1" name="Picture 0" descr="wtsc logo whit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c logo white 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D4" w:rsidRDefault="00DA38D4" w:rsidP="002B4C08">
      <w:pPr>
        <w:rPr>
          <w:b/>
          <w:i/>
          <w:sz w:val="32"/>
          <w:szCs w:val="32"/>
        </w:rPr>
      </w:pPr>
    </w:p>
    <w:p w:rsidR="0012723B" w:rsidRDefault="0012723B" w:rsidP="002B4C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WTSC Safe Sport </w:t>
      </w:r>
      <w:r w:rsidR="002B4C08">
        <w:rPr>
          <w:b/>
          <w:i/>
          <w:sz w:val="32"/>
          <w:szCs w:val="32"/>
        </w:rPr>
        <w:t>Best Practices</w:t>
      </w:r>
    </w:p>
    <w:p w:rsidR="00F2533A" w:rsidRDefault="00F2533A" w:rsidP="00F2533A">
      <w:pPr>
        <w:tabs>
          <w:tab w:val="left" w:pos="270"/>
        </w:tabs>
        <w:spacing w:after="0" w:line="240" w:lineRule="auto"/>
      </w:pPr>
    </w:p>
    <w:p w:rsidR="00F2533A" w:rsidRPr="00262FE9" w:rsidRDefault="00F2533A" w:rsidP="00F2533A">
      <w:pPr>
        <w:pStyle w:val="ListParagraph"/>
        <w:numPr>
          <w:ilvl w:val="0"/>
          <w:numId w:val="18"/>
        </w:numPr>
        <w:tabs>
          <w:tab w:val="left" w:pos="-450"/>
        </w:tabs>
        <w:spacing w:after="0" w:line="240" w:lineRule="auto"/>
        <w:ind w:left="360" w:hanging="360"/>
      </w:pPr>
      <w:r w:rsidRPr="00262FE9">
        <w:t>All swimming practices are open to observation by parents.</w:t>
      </w:r>
    </w:p>
    <w:p w:rsidR="004373A4" w:rsidRPr="00262FE9" w:rsidRDefault="004373A4" w:rsidP="004373A4">
      <w:pPr>
        <w:pStyle w:val="ListParagraph"/>
        <w:numPr>
          <w:ilvl w:val="0"/>
          <w:numId w:val="18"/>
        </w:numPr>
        <w:tabs>
          <w:tab w:val="left" w:pos="-450"/>
        </w:tabs>
        <w:spacing w:after="0" w:line="240" w:lineRule="auto"/>
        <w:ind w:left="360" w:hanging="360"/>
      </w:pPr>
      <w:r w:rsidRPr="00262FE9">
        <w:t xml:space="preserve">An open and observable environmental will be maintained for all interactions between adults and athletes. Private or one-on-one situations will be avoided unless they are open and observable. To this end, </w:t>
      </w:r>
      <w:r>
        <w:t xml:space="preserve">all coach meetings with an individual athlete will also be attended by another coach of the same gender as the swimmer or a parent/guardian of the swimmer and such meetings will be held on the pool deck, a coach’s office or wet classroom.  </w:t>
      </w:r>
    </w:p>
    <w:p w:rsidR="004373A4" w:rsidRPr="004373A4" w:rsidRDefault="004373A4" w:rsidP="00F2533A">
      <w:pPr>
        <w:pStyle w:val="ListParagraph"/>
        <w:numPr>
          <w:ilvl w:val="0"/>
          <w:numId w:val="18"/>
        </w:numPr>
        <w:tabs>
          <w:tab w:val="left" w:pos="-450"/>
        </w:tabs>
        <w:spacing w:after="0" w:line="240" w:lineRule="auto"/>
        <w:ind w:left="360" w:hanging="360"/>
      </w:pPr>
      <w:r w:rsidRPr="004373A4">
        <w:rPr>
          <w:rFonts w:cs="Arial"/>
          <w:bCs/>
        </w:rPr>
        <w:t>In accordance with USA Swimming Best Practice Guidelines, WTSC will effort to have at least one other adult present with a coach at all practices and other sanctioned club activities whenever at least one athlete is present</w:t>
      </w:r>
      <w:r w:rsidRPr="004373A4">
        <w:rPr>
          <w:bCs/>
        </w:rPr>
        <w:t>.</w:t>
      </w:r>
    </w:p>
    <w:p w:rsidR="00F2533A" w:rsidRPr="00262FE9" w:rsidRDefault="00F2533A" w:rsidP="00F2533A">
      <w:pPr>
        <w:pStyle w:val="ListParagraph"/>
        <w:numPr>
          <w:ilvl w:val="0"/>
          <w:numId w:val="18"/>
        </w:numPr>
        <w:tabs>
          <w:tab w:val="left" w:pos="-450"/>
        </w:tabs>
        <w:spacing w:after="0" w:line="240" w:lineRule="auto"/>
        <w:ind w:left="360" w:hanging="360"/>
      </w:pPr>
      <w:r w:rsidRPr="00262FE9">
        <w:rPr>
          <w:rFonts w:cs="Georgia"/>
          <w:color w:val="000000"/>
        </w:rPr>
        <w:t>Coaches will not invite or have an athlete(s) to their home without the permission of the athletes’</w:t>
      </w:r>
    </w:p>
    <w:p w:rsidR="00F2533A" w:rsidRPr="00262FE9" w:rsidRDefault="00F2533A" w:rsidP="00F2533A">
      <w:pPr>
        <w:autoSpaceDE w:val="0"/>
        <w:autoSpaceDN w:val="0"/>
        <w:adjustRightInd w:val="0"/>
        <w:spacing w:after="0" w:line="240" w:lineRule="auto"/>
        <w:ind w:firstLine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parents (or legal guardian). In the event of this situation occurring, another adult will also be present.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During team travel, when doing room checks, attending team meetings, and/or other activities, two adults will be present and open and observable environments will be maintained.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Athletes are not allowed to ride in a coach’s vehicle without another adult present, unless prior parental</w:t>
      </w:r>
      <w:r w:rsidR="00262FE9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permission is obtained, and only as a last resort.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During overnight team travel, when athletes are paired with other athletes, they will be of the same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gender and will be a similar age. Chaperones and/or team administration will stay in rooms on the same</w:t>
      </w:r>
      <w:r w:rsid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floor.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In the case that only one coach is traveling to a competition, at the competition the coach and athlete(s)</w:t>
      </w:r>
      <w:r w:rsidR="00262FE9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will establish a “buddy” club to associate with during the competition and when away from the venue</w:t>
      </w:r>
      <w:r w:rsidR="00D52D07">
        <w:rPr>
          <w:rFonts w:cs="Georgia"/>
          <w:color w:val="000000"/>
        </w:rPr>
        <w:t xml:space="preserve"> if there are no team parents accompanying the swimmer(s)</w:t>
      </w:r>
      <w:r w:rsidRPr="00262FE9">
        <w:rPr>
          <w:rFonts w:cs="Georgia"/>
          <w:color w:val="000000"/>
        </w:rPr>
        <w:t>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Communications between non-athlete adult members and athletes cannot include any topic or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language that is sexual or inappropriate in nature.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-Bold"/>
          <w:b/>
          <w:bCs/>
          <w:color w:val="000000"/>
        </w:rPr>
        <w:t xml:space="preserve"> </w:t>
      </w:r>
      <w:r w:rsidRPr="00262FE9">
        <w:rPr>
          <w:rFonts w:cs="Georgia"/>
          <w:color w:val="000000"/>
        </w:rPr>
        <w:t>Non-athlete adult members will respect the privacy of athletes in situations such as changing of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clothes, showering, etc. Non-athlete adult members should protect their own privacy in similar situations.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Relationships of a peer-to-peer nature with any athletes are not tolerated. For example, coaches are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not to discuss their own personal problems with athletes.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Coaches and other non-athlete adult members are not allowed to be involved with horseplay and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roughhousing with athletes.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When a coach touches an athlete as part of instruction, the coach will do so in direct view of others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and inform the athlete of what he/she is doing prior to the initial contact. Touching athletes will be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minimized outside the boundaries of what is considered normal instruction. Appropriate interaction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includes high fives, fist bumps, handshakes, and consenting hugs (i.e. after an extraordinary race).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Coaches will not initiate contact with or accept supervisory responsibility for athletes outside club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programs and activities.</w:t>
      </w:r>
      <w:r w:rsidR="00262FE9">
        <w:rPr>
          <w:rFonts w:cs="Georgia"/>
          <w:color w:val="000000"/>
        </w:rPr>
        <w:t xml:space="preserve">  Parents will not ask coaches to remain at practice or a meet to watch their child if they are running late for pick up.</w:t>
      </w:r>
    </w:p>
    <w:p w:rsidR="00F2533A" w:rsidRPr="00262FE9" w:rsidRDefault="00F2533A" w:rsidP="00262F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Coaches will not engage in sexual intimacies with a former athlete for at least two years after the</w:t>
      </w:r>
    </w:p>
    <w:p w:rsidR="005F0B58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Georgia"/>
          <w:color w:val="000000"/>
        </w:rPr>
      </w:pPr>
      <w:r w:rsidRPr="00262FE9">
        <w:rPr>
          <w:rFonts w:cs="Georgia"/>
          <w:color w:val="000000"/>
        </w:rPr>
        <w:t>cessation or termination of professional services. Because sexual intimacies with a former athlete are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frequently harmful to the athlete, and because such intimacies undermine public confidence in the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coaching profession and thereby deter the public’s use of needed services, coaches should not engage in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sexual intimacies with former athletes even after a two-year interval except in the most unusual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circumstances. The coach who engages in such activity after the two years following cessation or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termination of the coach-athlete relationship bears the burden of demonstrating that there has been no</w:t>
      </w:r>
      <w:r w:rsid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exploitation, in light of all relevant factors, including:</w:t>
      </w:r>
      <w:r w:rsidR="005F0B58" w:rsidRPr="00262FE9">
        <w:rPr>
          <w:rFonts w:cs="Georgia"/>
          <w:color w:val="000000"/>
        </w:rPr>
        <w:t xml:space="preserve"> </w:t>
      </w:r>
    </w:p>
    <w:p w:rsidR="00F2533A" w:rsidRPr="00262FE9" w:rsidRDefault="00F2533A" w:rsidP="005F0B58">
      <w:pPr>
        <w:pStyle w:val="ListParagraph"/>
        <w:autoSpaceDE w:val="0"/>
        <w:autoSpaceDN w:val="0"/>
        <w:adjustRightInd w:val="0"/>
        <w:spacing w:after="0" w:line="240" w:lineRule="auto"/>
        <w:ind w:left="12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1. The amount of time that has passed since the coach-athlete relationship terminated;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12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2. The circumstances of termination;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12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3. The athlete’s personal history;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12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4. The athlete’s current mental status;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12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5. The likelihood of adverse impact on the athlete and others; and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12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6. Any statements or actions made by the coach during the course of the athlete-coach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840"/>
        <w:rPr>
          <w:rFonts w:cs="Georgia"/>
          <w:color w:val="000000"/>
        </w:rPr>
      </w:pPr>
      <w:r w:rsidRPr="00262FE9">
        <w:rPr>
          <w:rFonts w:cs="Georgia"/>
          <w:color w:val="000000"/>
        </w:rPr>
        <w:t>relationship suggesting or inviting the possibility of a post-termination sexual or romantic</w:t>
      </w:r>
    </w:p>
    <w:p w:rsidR="00F2533A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24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relationship with the athlete or coach.</w:t>
      </w:r>
    </w:p>
    <w:p w:rsidR="005F0B58" w:rsidRPr="00262FE9" w:rsidRDefault="00F2533A" w:rsidP="00262FE9">
      <w:pPr>
        <w:pStyle w:val="ListParagraph"/>
        <w:autoSpaceDE w:val="0"/>
        <w:autoSpaceDN w:val="0"/>
        <w:adjustRightInd w:val="0"/>
        <w:spacing w:after="0" w:line="240" w:lineRule="auto"/>
        <w:ind w:left="120" w:firstLine="600"/>
        <w:rPr>
          <w:rFonts w:cs="Georgia"/>
          <w:color w:val="000000"/>
        </w:rPr>
      </w:pPr>
      <w:r w:rsidRPr="00262FE9">
        <w:rPr>
          <w:rFonts w:cs="Georgia"/>
          <w:color w:val="000000"/>
        </w:rPr>
        <w:t>7. Both the athlete and the coach must be 18 years of age or older.</w:t>
      </w:r>
    </w:p>
    <w:p w:rsidR="005F0B58" w:rsidRPr="00262FE9" w:rsidRDefault="005F0B58" w:rsidP="005F0B5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:rsidR="00F2533A" w:rsidRPr="00262FE9" w:rsidRDefault="00F2533A" w:rsidP="005F0B5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262FE9">
        <w:rPr>
          <w:rFonts w:cs="Georgia"/>
          <w:color w:val="000000"/>
        </w:rPr>
        <w:t xml:space="preserve">The </w:t>
      </w:r>
      <w:r w:rsidR="00262FE9">
        <w:rPr>
          <w:rFonts w:cs="Georgia"/>
          <w:color w:val="000000"/>
        </w:rPr>
        <w:t>WTSC</w:t>
      </w:r>
      <w:r w:rsidRPr="00262FE9">
        <w:rPr>
          <w:rFonts w:cs="Georgia"/>
          <w:color w:val="000000"/>
        </w:rPr>
        <w:t xml:space="preserve"> Board has final say on all of the aforementioned guidelines. Those who violate any number of</w:t>
      </w:r>
      <w:r w:rsidR="005F0B58" w:rsidRPr="00262FE9">
        <w:rPr>
          <w:rFonts w:cs="Georgia"/>
          <w:color w:val="000000"/>
        </w:rPr>
        <w:t xml:space="preserve"> </w:t>
      </w:r>
      <w:r w:rsidRPr="00262FE9">
        <w:rPr>
          <w:rFonts w:cs="Georgia"/>
          <w:color w:val="000000"/>
        </w:rPr>
        <w:t>these will be subject to a Board hearing, wherein the possibility of removal from the team may occur.</w:t>
      </w:r>
      <w:r w:rsidR="005F0B58" w:rsidRPr="00262FE9">
        <w:rPr>
          <w:rFonts w:cs="Georgia"/>
          <w:color w:val="000000"/>
        </w:rPr>
        <w:t xml:space="preserve">  </w:t>
      </w:r>
      <w:r w:rsidRPr="00262FE9">
        <w:rPr>
          <w:rFonts w:cs="Georgia"/>
          <w:b/>
          <w:color w:val="000000"/>
        </w:rPr>
        <w:t xml:space="preserve">These </w:t>
      </w:r>
      <w:r w:rsidR="009C3EC4">
        <w:rPr>
          <w:rFonts w:cs="Georgia"/>
          <w:b/>
          <w:color w:val="000000"/>
        </w:rPr>
        <w:t xml:space="preserve">guidelines </w:t>
      </w:r>
      <w:r w:rsidRPr="00262FE9">
        <w:rPr>
          <w:rFonts w:cs="Georgia"/>
          <w:b/>
          <w:color w:val="000000"/>
        </w:rPr>
        <w:t>are agreed upon, by all non-athletes and athletes involved, when registering to become a member of</w:t>
      </w:r>
      <w:r w:rsidR="005F0B58" w:rsidRPr="00262FE9">
        <w:rPr>
          <w:rFonts w:cs="Georgia"/>
          <w:b/>
          <w:color w:val="000000"/>
        </w:rPr>
        <w:t xml:space="preserve"> </w:t>
      </w:r>
      <w:r w:rsidR="00262FE9" w:rsidRPr="00262FE9">
        <w:rPr>
          <w:rFonts w:cs="Georgia"/>
          <w:b/>
          <w:color w:val="000000"/>
        </w:rPr>
        <w:t>Washington Township Swim Club</w:t>
      </w:r>
      <w:r w:rsidR="00262FE9">
        <w:rPr>
          <w:rFonts w:cs="Georgia"/>
          <w:b/>
          <w:color w:val="000000"/>
        </w:rPr>
        <w:t xml:space="preserve"> or upon being hired </w:t>
      </w:r>
      <w:r w:rsidR="009C3EC4">
        <w:rPr>
          <w:rFonts w:cs="Georgia"/>
          <w:b/>
          <w:color w:val="000000"/>
        </w:rPr>
        <w:t>as a WTSC</w:t>
      </w:r>
      <w:r w:rsidR="00262FE9">
        <w:rPr>
          <w:rFonts w:cs="Georgia"/>
          <w:b/>
          <w:color w:val="000000"/>
        </w:rPr>
        <w:t xml:space="preserve"> coach</w:t>
      </w:r>
      <w:r w:rsidRPr="00262FE9">
        <w:rPr>
          <w:rFonts w:cs="Georgia"/>
          <w:b/>
          <w:color w:val="000000"/>
        </w:rPr>
        <w:t>.</w:t>
      </w:r>
    </w:p>
    <w:p w:rsidR="005F0B58" w:rsidRDefault="005F0B58" w:rsidP="005F0B5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027CA5" w:rsidRDefault="00027CA5">
      <w:pP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br w:type="page"/>
      </w:r>
    </w:p>
    <w:p w:rsidR="0051720C" w:rsidRDefault="0051720C" w:rsidP="0051720C">
      <w:pPr>
        <w:pStyle w:val="Default"/>
      </w:pPr>
    </w:p>
    <w:sectPr w:rsidR="0051720C" w:rsidSect="00826516">
      <w:headerReference w:type="default" r:id="rId9"/>
      <w:pgSz w:w="12240" w:h="15840" w:code="1"/>
      <w:pgMar w:top="720" w:right="1339" w:bottom="274" w:left="1325" w:header="432" w:footer="576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10D8C" w:rsidRDefault="00F10D8C" w:rsidP="00B75C6F">
      <w:pPr>
        <w:spacing w:after="0" w:line="240" w:lineRule="auto"/>
      </w:pPr>
      <w:r>
        <w:separator/>
      </w:r>
    </w:p>
  </w:endnote>
  <w:endnote w:type="continuationSeparator" w:id="1">
    <w:p w:rsidR="00F10D8C" w:rsidRDefault="00F10D8C" w:rsidP="00B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10D8C" w:rsidRDefault="00F10D8C" w:rsidP="00B75C6F">
      <w:pPr>
        <w:spacing w:after="0" w:line="240" w:lineRule="auto"/>
      </w:pPr>
      <w:r>
        <w:separator/>
      </w:r>
    </w:p>
  </w:footnote>
  <w:footnote w:type="continuationSeparator" w:id="1">
    <w:p w:rsidR="00F10D8C" w:rsidRDefault="00F10D8C" w:rsidP="00B7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E652F" w:rsidRDefault="00DE652F" w:rsidP="00615BD3">
    <w:pPr>
      <w:pStyle w:val="Header"/>
      <w:ind w:left="-720"/>
      <w:rPr>
        <w:sz w:val="20"/>
        <w:szCs w:val="20"/>
      </w:rPr>
    </w:pPr>
    <w:r w:rsidRPr="00615BD3">
      <w:rPr>
        <w:sz w:val="20"/>
        <w:szCs w:val="20"/>
      </w:rPr>
      <w:t xml:space="preserve">Revised: </w:t>
    </w:r>
    <w:r w:rsidR="002D005C">
      <w:rPr>
        <w:sz w:val="20"/>
        <w:szCs w:val="20"/>
      </w:rPr>
      <w:t xml:space="preserve">August </w:t>
    </w:r>
    <w:r w:rsidR="00826516">
      <w:rPr>
        <w:sz w:val="20"/>
        <w:szCs w:val="20"/>
      </w:rPr>
      <w:t>7, 2018</w:t>
    </w:r>
  </w:p>
  <w:p w:rsidR="00005EE7" w:rsidRPr="00615BD3" w:rsidRDefault="00005EE7" w:rsidP="00615BD3">
    <w:pPr>
      <w:pStyle w:val="Header"/>
      <w:ind w:left="-720"/>
      <w:rPr>
        <w:sz w:val="20"/>
        <w:szCs w:val="20"/>
      </w:rPr>
    </w:pPr>
  </w:p>
  <w:p w:rsidR="00DE652F" w:rsidRDefault="00DE652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402"/>
    <w:multiLevelType w:val="multilevel"/>
    <w:tmpl w:val="46802546"/>
    <w:lvl w:ilvl="0">
      <w:start w:val="1"/>
      <w:numFmt w:val="decimal"/>
      <w:lvlText w:val="%1."/>
      <w:lvlJc w:val="left"/>
      <w:pPr>
        <w:ind w:left="120" w:hanging="212"/>
      </w:pPr>
      <w:rPr>
        <w:rFonts w:asciiTheme="minorHAnsi" w:hAnsiTheme="minorHAnsi" w:cs="Georgia" w:hint="default"/>
        <w:b w:val="0"/>
        <w:bCs/>
        <w:spacing w:val="1"/>
        <w:w w:val="103"/>
        <w:sz w:val="22"/>
        <w:szCs w:val="22"/>
      </w:rPr>
    </w:lvl>
    <w:lvl w:ilvl="1">
      <w:start w:val="1"/>
      <w:numFmt w:val="decimal"/>
      <w:lvlText w:val="%2."/>
      <w:lvlJc w:val="left"/>
      <w:pPr>
        <w:ind w:left="1032" w:hanging="189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1982" w:hanging="189"/>
      </w:pPr>
    </w:lvl>
    <w:lvl w:ilvl="3">
      <w:numFmt w:val="bullet"/>
      <w:lvlText w:val="•"/>
      <w:lvlJc w:val="left"/>
      <w:pPr>
        <w:ind w:left="2932" w:hanging="189"/>
      </w:pPr>
    </w:lvl>
    <w:lvl w:ilvl="4">
      <w:numFmt w:val="bullet"/>
      <w:lvlText w:val="•"/>
      <w:lvlJc w:val="left"/>
      <w:pPr>
        <w:ind w:left="3881" w:hanging="189"/>
      </w:pPr>
    </w:lvl>
    <w:lvl w:ilvl="5">
      <w:numFmt w:val="bullet"/>
      <w:lvlText w:val="•"/>
      <w:lvlJc w:val="left"/>
      <w:pPr>
        <w:ind w:left="4831" w:hanging="189"/>
      </w:pPr>
    </w:lvl>
    <w:lvl w:ilvl="6">
      <w:numFmt w:val="bullet"/>
      <w:lvlText w:val="•"/>
      <w:lvlJc w:val="left"/>
      <w:pPr>
        <w:ind w:left="5781" w:hanging="189"/>
      </w:pPr>
    </w:lvl>
    <w:lvl w:ilvl="7">
      <w:numFmt w:val="bullet"/>
      <w:lvlText w:val="•"/>
      <w:lvlJc w:val="left"/>
      <w:pPr>
        <w:ind w:left="6731" w:hanging="189"/>
      </w:pPr>
    </w:lvl>
    <w:lvl w:ilvl="8">
      <w:numFmt w:val="bullet"/>
      <w:lvlText w:val="•"/>
      <w:lvlJc w:val="left"/>
      <w:pPr>
        <w:ind w:left="7680" w:hanging="18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985" w:hanging="885"/>
      </w:pPr>
      <w:rPr>
        <w:rFonts w:ascii="Georgia" w:hAnsi="Georgia" w:cs="Georgia"/>
        <w:b w:val="0"/>
        <w:bCs w:val="0"/>
        <w:w w:val="103"/>
        <w:sz w:val="19"/>
        <w:szCs w:val="19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2">
      <w:numFmt w:val="bullet"/>
      <w:lvlText w:val="•"/>
      <w:lvlJc w:val="left"/>
      <w:pPr>
        <w:ind w:left="1937" w:hanging="360"/>
      </w:pPr>
    </w:lvl>
    <w:lvl w:ilvl="3">
      <w:numFmt w:val="bullet"/>
      <w:lvlText w:val="•"/>
      <w:lvlJc w:val="left"/>
      <w:pPr>
        <w:ind w:left="2890" w:hanging="360"/>
      </w:pPr>
    </w:lvl>
    <w:lvl w:ilvl="4">
      <w:numFmt w:val="bullet"/>
      <w:lvlText w:val="•"/>
      <w:lvlJc w:val="left"/>
      <w:pPr>
        <w:ind w:left="3843" w:hanging="360"/>
      </w:pPr>
    </w:lvl>
    <w:lvl w:ilvl="5">
      <w:numFmt w:val="bullet"/>
      <w:lvlText w:val="•"/>
      <w:lvlJc w:val="left"/>
      <w:pPr>
        <w:ind w:left="4796" w:hanging="360"/>
      </w:pPr>
    </w:lvl>
    <w:lvl w:ilvl="6">
      <w:numFmt w:val="bullet"/>
      <w:lvlText w:val="•"/>
      <w:lvlJc w:val="left"/>
      <w:pPr>
        <w:ind w:left="5748" w:hanging="360"/>
      </w:pPr>
    </w:lvl>
    <w:lvl w:ilvl="7">
      <w:numFmt w:val="bullet"/>
      <w:lvlText w:val="•"/>
      <w:lvlJc w:val="left"/>
      <w:pPr>
        <w:ind w:left="6701" w:hanging="360"/>
      </w:pPr>
    </w:lvl>
    <w:lvl w:ilvl="8">
      <w:numFmt w:val="bullet"/>
      <w:lvlText w:val="•"/>
      <w:lvlJc w:val="left"/>
      <w:pPr>
        <w:ind w:left="7654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Georgia" w:hAnsi="Georgia" w:cs="Georgia"/>
        <w:b/>
        <w:bCs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46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460" w:hanging="360"/>
      </w:pPr>
      <w:rPr>
        <w:rFonts w:ascii="Georgia" w:hAnsi="Georgia" w:cs="Georgia"/>
        <w:b/>
        <w:bCs/>
        <w:spacing w:val="2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2">
      <w:start w:val="1"/>
      <w:numFmt w:val="lowerRoman"/>
      <w:lvlText w:val="%3."/>
      <w:lvlJc w:val="left"/>
      <w:pPr>
        <w:ind w:left="1900" w:hanging="293"/>
      </w:pPr>
      <w:rPr>
        <w:rFonts w:ascii="Georgia" w:hAnsi="Georgia" w:cs="Georgia"/>
        <w:b w:val="0"/>
        <w:bCs w:val="0"/>
        <w:w w:val="103"/>
        <w:sz w:val="19"/>
        <w:szCs w:val="19"/>
      </w:rPr>
    </w:lvl>
    <w:lvl w:ilvl="3">
      <w:numFmt w:val="bullet"/>
      <w:lvlText w:val="•"/>
      <w:lvlJc w:val="left"/>
      <w:pPr>
        <w:ind w:left="2857" w:hanging="293"/>
      </w:pPr>
    </w:lvl>
    <w:lvl w:ilvl="4">
      <w:numFmt w:val="bullet"/>
      <w:lvlText w:val="•"/>
      <w:lvlJc w:val="left"/>
      <w:pPr>
        <w:ind w:left="3815" w:hanging="293"/>
      </w:pPr>
    </w:lvl>
    <w:lvl w:ilvl="5">
      <w:numFmt w:val="bullet"/>
      <w:lvlText w:val="•"/>
      <w:lvlJc w:val="left"/>
      <w:pPr>
        <w:ind w:left="4772" w:hanging="293"/>
      </w:pPr>
    </w:lvl>
    <w:lvl w:ilvl="6">
      <w:numFmt w:val="bullet"/>
      <w:lvlText w:val="•"/>
      <w:lvlJc w:val="left"/>
      <w:pPr>
        <w:ind w:left="5730" w:hanging="293"/>
      </w:pPr>
    </w:lvl>
    <w:lvl w:ilvl="7">
      <w:numFmt w:val="bullet"/>
      <w:lvlText w:val="•"/>
      <w:lvlJc w:val="left"/>
      <w:pPr>
        <w:ind w:left="6687" w:hanging="293"/>
      </w:pPr>
    </w:lvl>
    <w:lvl w:ilvl="8">
      <w:numFmt w:val="bullet"/>
      <w:lvlText w:val="•"/>
      <w:lvlJc w:val="left"/>
      <w:pPr>
        <w:ind w:left="7645" w:hanging="293"/>
      </w:pPr>
    </w:lvl>
  </w:abstractNum>
  <w:abstractNum w:abstractNumId="7">
    <w:nsid w:val="00000409"/>
    <w:multiLevelType w:val="multilevel"/>
    <w:tmpl w:val="0000088C"/>
    <w:lvl w:ilvl="0">
      <w:start w:val="2"/>
      <w:numFmt w:val="lowerLetter"/>
      <w:lvlText w:val="%1."/>
      <w:lvlJc w:val="left"/>
      <w:pPr>
        <w:ind w:left="118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1">
      <w:start w:val="1"/>
      <w:numFmt w:val="lowerRoman"/>
      <w:lvlText w:val="%2."/>
      <w:lvlJc w:val="left"/>
      <w:pPr>
        <w:ind w:left="1900" w:hanging="293"/>
      </w:pPr>
      <w:rPr>
        <w:rFonts w:ascii="Georgia" w:hAnsi="Georgia" w:cs="Georgia"/>
        <w:b w:val="0"/>
        <w:bCs w:val="0"/>
        <w:w w:val="103"/>
        <w:sz w:val="19"/>
        <w:szCs w:val="19"/>
      </w:rPr>
    </w:lvl>
    <w:lvl w:ilvl="2">
      <w:numFmt w:val="bullet"/>
      <w:lvlText w:val="•"/>
      <w:lvlJc w:val="left"/>
      <w:pPr>
        <w:ind w:left="2748" w:hanging="293"/>
      </w:pPr>
    </w:lvl>
    <w:lvl w:ilvl="3">
      <w:numFmt w:val="bullet"/>
      <w:lvlText w:val="•"/>
      <w:lvlJc w:val="left"/>
      <w:pPr>
        <w:ind w:left="3597" w:hanging="293"/>
      </w:pPr>
    </w:lvl>
    <w:lvl w:ilvl="4">
      <w:numFmt w:val="bullet"/>
      <w:lvlText w:val="•"/>
      <w:lvlJc w:val="left"/>
      <w:pPr>
        <w:ind w:left="4446" w:hanging="293"/>
      </w:pPr>
    </w:lvl>
    <w:lvl w:ilvl="5">
      <w:numFmt w:val="bullet"/>
      <w:lvlText w:val="•"/>
      <w:lvlJc w:val="left"/>
      <w:pPr>
        <w:ind w:left="5295" w:hanging="293"/>
      </w:pPr>
    </w:lvl>
    <w:lvl w:ilvl="6">
      <w:numFmt w:val="bullet"/>
      <w:lvlText w:val="•"/>
      <w:lvlJc w:val="left"/>
      <w:pPr>
        <w:ind w:left="6144" w:hanging="293"/>
      </w:pPr>
    </w:lvl>
    <w:lvl w:ilvl="7">
      <w:numFmt w:val="bullet"/>
      <w:lvlText w:val="•"/>
      <w:lvlJc w:val="left"/>
      <w:pPr>
        <w:ind w:left="6993" w:hanging="293"/>
      </w:pPr>
    </w:lvl>
    <w:lvl w:ilvl="8">
      <w:numFmt w:val="bullet"/>
      <w:lvlText w:val="•"/>
      <w:lvlJc w:val="left"/>
      <w:pPr>
        <w:ind w:left="7842" w:hanging="293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."/>
      <w:lvlJc w:val="left"/>
      <w:pPr>
        <w:ind w:left="46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Georgia" w:hAnsi="Georgia" w:cs="Georgia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2108" w:hanging="360"/>
      </w:pPr>
    </w:lvl>
    <w:lvl w:ilvl="3">
      <w:numFmt w:val="bullet"/>
      <w:lvlText w:val="•"/>
      <w:lvlJc w:val="left"/>
      <w:pPr>
        <w:ind w:left="303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895" w:hanging="360"/>
      </w:pPr>
    </w:lvl>
    <w:lvl w:ilvl="6">
      <w:numFmt w:val="bullet"/>
      <w:lvlText w:val="•"/>
      <w:lvlJc w:val="left"/>
      <w:pPr>
        <w:ind w:left="5824" w:hanging="360"/>
      </w:pPr>
    </w:lvl>
    <w:lvl w:ilvl="7">
      <w:numFmt w:val="bullet"/>
      <w:lvlText w:val="•"/>
      <w:lvlJc w:val="left"/>
      <w:pPr>
        <w:ind w:left="6753" w:hanging="360"/>
      </w:pPr>
    </w:lvl>
    <w:lvl w:ilvl="8">
      <w:numFmt w:val="bullet"/>
      <w:lvlText w:val="•"/>
      <w:lvlJc w:val="left"/>
      <w:pPr>
        <w:ind w:left="7682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10">
    <w:nsid w:val="0FA148DC"/>
    <w:multiLevelType w:val="hybridMultilevel"/>
    <w:tmpl w:val="ED7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28DC"/>
    <w:multiLevelType w:val="multilevel"/>
    <w:tmpl w:val="84D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9467B"/>
    <w:multiLevelType w:val="multilevel"/>
    <w:tmpl w:val="F1F03B5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23177480"/>
    <w:multiLevelType w:val="hybridMultilevel"/>
    <w:tmpl w:val="59825806"/>
    <w:lvl w:ilvl="0" w:tplc="A9A24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2238E"/>
    <w:multiLevelType w:val="singleLevel"/>
    <w:tmpl w:val="673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3910C06"/>
    <w:multiLevelType w:val="hybridMultilevel"/>
    <w:tmpl w:val="054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C4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361CDA"/>
    <w:multiLevelType w:val="hybridMultilevel"/>
    <w:tmpl w:val="FADC8218"/>
    <w:lvl w:ilvl="0" w:tplc="A9A24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3E10EE"/>
    <w:multiLevelType w:val="hybridMultilevel"/>
    <w:tmpl w:val="3EF6F19E"/>
    <w:lvl w:ilvl="0" w:tplc="A9A24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25C78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ADA421C"/>
    <w:multiLevelType w:val="hybridMultilevel"/>
    <w:tmpl w:val="F43A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7A40"/>
    <w:multiLevelType w:val="hybridMultilevel"/>
    <w:tmpl w:val="9A72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21"/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0"/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0B2"/>
    <w:rsid w:val="000010A7"/>
    <w:rsid w:val="00005EE7"/>
    <w:rsid w:val="00027CA5"/>
    <w:rsid w:val="00056AE7"/>
    <w:rsid w:val="000731B6"/>
    <w:rsid w:val="000C0F93"/>
    <w:rsid w:val="0012723B"/>
    <w:rsid w:val="00176481"/>
    <w:rsid w:val="00180556"/>
    <w:rsid w:val="00187B50"/>
    <w:rsid w:val="00195837"/>
    <w:rsid w:val="001B4060"/>
    <w:rsid w:val="00262FE9"/>
    <w:rsid w:val="0029758E"/>
    <w:rsid w:val="002B4C08"/>
    <w:rsid w:val="002D005C"/>
    <w:rsid w:val="002D30B2"/>
    <w:rsid w:val="002D4D59"/>
    <w:rsid w:val="00315494"/>
    <w:rsid w:val="0034546D"/>
    <w:rsid w:val="003F123B"/>
    <w:rsid w:val="00436D13"/>
    <w:rsid w:val="004373A4"/>
    <w:rsid w:val="004B2EC4"/>
    <w:rsid w:val="004F09E9"/>
    <w:rsid w:val="00503896"/>
    <w:rsid w:val="0051720C"/>
    <w:rsid w:val="005229FC"/>
    <w:rsid w:val="00557029"/>
    <w:rsid w:val="005E2241"/>
    <w:rsid w:val="005E54F6"/>
    <w:rsid w:val="005F0B58"/>
    <w:rsid w:val="00615BD3"/>
    <w:rsid w:val="006345E2"/>
    <w:rsid w:val="00641E74"/>
    <w:rsid w:val="00654BEE"/>
    <w:rsid w:val="006B18E0"/>
    <w:rsid w:val="006D25C4"/>
    <w:rsid w:val="0070600F"/>
    <w:rsid w:val="007341DB"/>
    <w:rsid w:val="00735039"/>
    <w:rsid w:val="007406B2"/>
    <w:rsid w:val="007C4FD0"/>
    <w:rsid w:val="007D13A3"/>
    <w:rsid w:val="00813FB4"/>
    <w:rsid w:val="00826516"/>
    <w:rsid w:val="0086181D"/>
    <w:rsid w:val="00862AC1"/>
    <w:rsid w:val="008B5306"/>
    <w:rsid w:val="008C7A96"/>
    <w:rsid w:val="00967B18"/>
    <w:rsid w:val="009C3EC4"/>
    <w:rsid w:val="009D168A"/>
    <w:rsid w:val="00A216E2"/>
    <w:rsid w:val="00AD3C34"/>
    <w:rsid w:val="00B03965"/>
    <w:rsid w:val="00B04752"/>
    <w:rsid w:val="00B13EBE"/>
    <w:rsid w:val="00B14AD2"/>
    <w:rsid w:val="00B45E3D"/>
    <w:rsid w:val="00B53FA9"/>
    <w:rsid w:val="00B57788"/>
    <w:rsid w:val="00B74020"/>
    <w:rsid w:val="00B75C6F"/>
    <w:rsid w:val="00B76FC7"/>
    <w:rsid w:val="00BE28F3"/>
    <w:rsid w:val="00C35F64"/>
    <w:rsid w:val="00C91A41"/>
    <w:rsid w:val="00CD02F9"/>
    <w:rsid w:val="00D52D07"/>
    <w:rsid w:val="00D7607B"/>
    <w:rsid w:val="00DA38D4"/>
    <w:rsid w:val="00DB047E"/>
    <w:rsid w:val="00DD5C1E"/>
    <w:rsid w:val="00DE652F"/>
    <w:rsid w:val="00F10D8C"/>
    <w:rsid w:val="00F1195F"/>
    <w:rsid w:val="00F2533A"/>
    <w:rsid w:val="00F30656"/>
    <w:rsid w:val="00F4180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3B"/>
  </w:style>
  <w:style w:type="paragraph" w:styleId="Heading1">
    <w:name w:val="heading 1"/>
    <w:basedOn w:val="Normal"/>
    <w:next w:val="Normal"/>
    <w:link w:val="Heading1Char"/>
    <w:uiPriority w:val="1"/>
    <w:qFormat/>
    <w:rsid w:val="004F0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30B2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sz w:val="28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1"/>
    <w:qFormat/>
    <w:rsid w:val="002D30B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D30B2"/>
    <w:rPr>
      <w:rFonts w:ascii="Century Gothic" w:eastAsia="Times New Roman" w:hAnsi="Century Gothic" w:cs="Times New Roman"/>
      <w:sz w:val="28"/>
      <w:szCs w:val="20"/>
      <w:u w:val="single"/>
    </w:rPr>
  </w:style>
  <w:style w:type="paragraph" w:styleId="BodyText2">
    <w:name w:val="Body Text 2"/>
    <w:basedOn w:val="Normal"/>
    <w:link w:val="BodyText2Char"/>
    <w:rsid w:val="002D30B2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D30B2"/>
    <w:rPr>
      <w:rFonts w:ascii="Century Gothic" w:eastAsia="Times New Roman" w:hAnsi="Century Gothic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D30B2"/>
    <w:pPr>
      <w:spacing w:after="0" w:line="240" w:lineRule="auto"/>
      <w:jc w:val="both"/>
    </w:pPr>
    <w:rPr>
      <w:rFonts w:ascii="Century Gothic" w:eastAsia="Times New Roman" w:hAnsi="Century Gothic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D30B2"/>
    <w:rPr>
      <w:rFonts w:ascii="Century Gothic" w:eastAsia="Times New Roman" w:hAnsi="Century Gothic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6F"/>
  </w:style>
  <w:style w:type="paragraph" w:styleId="Footer">
    <w:name w:val="footer"/>
    <w:basedOn w:val="Normal"/>
    <w:link w:val="FooterChar"/>
    <w:uiPriority w:val="99"/>
    <w:unhideWhenUsed/>
    <w:rsid w:val="00B7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6F"/>
  </w:style>
  <w:style w:type="paragraph" w:styleId="BalloonText">
    <w:name w:val="Balloon Text"/>
    <w:basedOn w:val="Normal"/>
    <w:link w:val="BalloonTextChar"/>
    <w:uiPriority w:val="99"/>
    <w:semiHidden/>
    <w:unhideWhenUsed/>
    <w:rsid w:val="00B7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45E2"/>
    <w:rPr>
      <w:b/>
      <w:bCs/>
    </w:rPr>
  </w:style>
  <w:style w:type="character" w:styleId="Hyperlink">
    <w:name w:val="Hyperlink"/>
    <w:basedOn w:val="DefaultParagraphFont"/>
    <w:uiPriority w:val="99"/>
    <w:unhideWhenUsed/>
    <w:rsid w:val="006345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F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F253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533A"/>
  </w:style>
  <w:style w:type="paragraph" w:customStyle="1" w:styleId="TableParagraph">
    <w:name w:val="Table Paragraph"/>
    <w:basedOn w:val="Normal"/>
    <w:uiPriority w:val="1"/>
    <w:qFormat/>
    <w:rsid w:val="00F25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E9"/>
    <w:rPr>
      <w:b/>
      <w:bCs/>
      <w:sz w:val="20"/>
      <w:szCs w:val="20"/>
    </w:rPr>
  </w:style>
  <w:style w:type="paragraph" w:customStyle="1" w:styleId="Default">
    <w:name w:val="Default"/>
    <w:rsid w:val="0051720C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1720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1720C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1720C"/>
    <w:pPr>
      <w:spacing w:line="20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039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3070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1155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61730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58699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0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1177">
                  <w:marLeft w:val="0"/>
                  <w:marRight w:val="0"/>
                  <w:marTop w:val="0"/>
                  <w:marBottom w:val="120"/>
                  <w:divBdr>
                    <w:top w:val="single" w:sz="2" w:space="3" w:color="89949F"/>
                    <w:left w:val="single" w:sz="4" w:space="3" w:color="89949F"/>
                    <w:bottom w:val="single" w:sz="4" w:space="3" w:color="89949F"/>
                    <w:right w:val="single" w:sz="4" w:space="3" w:color="89949F"/>
                  </w:divBdr>
                </w:div>
              </w:divsChild>
            </w:div>
          </w:divsChild>
        </w:div>
      </w:divsChild>
    </w:div>
    <w:div w:id="2005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167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C3F9-6A4C-D74F-8BAB-F9A072B9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3936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Hewlett-Packard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Charlie</dc:creator>
  <cp:lastModifiedBy>Jennifer Buddenbaum</cp:lastModifiedBy>
  <cp:revision>3</cp:revision>
  <cp:lastPrinted>2015-08-21T14:50:00Z</cp:lastPrinted>
  <dcterms:created xsi:type="dcterms:W3CDTF">2019-06-20T15:19:00Z</dcterms:created>
  <dcterms:modified xsi:type="dcterms:W3CDTF">2019-06-28T00:59:00Z</dcterms:modified>
</cp:coreProperties>
</file>