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15697A">
        <w:rPr>
          <w:rFonts w:ascii="Calibri" w:eastAsia="Times New Roman" w:hAnsi="Calibri" w:cs="Times New Roman"/>
          <w:color w:val="222222"/>
          <w:sz w:val="24"/>
          <w:szCs w:val="24"/>
        </w:rPr>
        <w:t>Below is the information that we received from the meet host regarding the Pittsburgh meet.</w:t>
      </w:r>
    </w:p>
    <w:p w:rsid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5697A" w:rsidRDefault="0015697A" w:rsidP="001569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</w:rPr>
      </w:pPr>
      <w:r>
        <w:rPr>
          <w:rFonts w:ascii="Calibri" w:eastAsia="Times New Roman" w:hAnsi="Calibri" w:cs="Times New Roman"/>
          <w:b/>
          <w:color w:val="222222"/>
          <w:sz w:val="36"/>
          <w:szCs w:val="36"/>
        </w:rPr>
        <w:t>LESD needs</w:t>
      </w:r>
      <w:bookmarkStart w:id="0" w:name="_GoBack"/>
      <w:bookmarkEnd w:id="0"/>
      <w:r w:rsidRPr="0015697A">
        <w:rPr>
          <w:rFonts w:ascii="Calibri" w:eastAsia="Times New Roman" w:hAnsi="Calibri" w:cs="Times New Roman"/>
          <w:b/>
          <w:color w:val="222222"/>
          <w:sz w:val="36"/>
          <w:szCs w:val="36"/>
        </w:rPr>
        <w:t xml:space="preserve"> to provide timers for the Saturday and Sunday </w:t>
      </w:r>
    </w:p>
    <w:p w:rsidR="0015697A" w:rsidRPr="0015697A" w:rsidRDefault="0015697A" w:rsidP="001569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</w:rPr>
      </w:pPr>
      <w:r w:rsidRPr="0015697A">
        <w:rPr>
          <w:rFonts w:ascii="Calibri" w:eastAsia="Times New Roman" w:hAnsi="Calibri" w:cs="Times New Roman"/>
          <w:b/>
          <w:color w:val="222222"/>
          <w:sz w:val="36"/>
          <w:szCs w:val="36"/>
        </w:rPr>
        <w:t>12 &amp; Under Prelim Session.</w:t>
      </w:r>
    </w:p>
    <w:p w:rsid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Coaches and entry chairs:</w:t>
      </w: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 </w:t>
      </w: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Please make sure you disseminate this info to your teams.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Attached you will find a copy of the final psych sheet – the meet is available on meet mobile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15697A">
        <w:rPr>
          <w:rFonts w:ascii="Arial" w:eastAsia="Times New Roman" w:hAnsi="Arial" w:cs="Arial"/>
          <w:color w:val="222222"/>
          <w:sz w:val="19"/>
          <w:szCs w:val="19"/>
        </w:rPr>
        <w:t>You</w:t>
      </w:r>
      <w:proofErr w:type="gramEnd"/>
      <w:r w:rsidRPr="0015697A">
        <w:rPr>
          <w:rFonts w:ascii="Arial" w:eastAsia="Times New Roman" w:hAnsi="Arial" w:cs="Arial"/>
          <w:color w:val="222222"/>
          <w:sz w:val="19"/>
          <w:szCs w:val="19"/>
        </w:rPr>
        <w:t xml:space="preserve"> will find a copy of the estimated timelines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15697A">
        <w:rPr>
          <w:rFonts w:ascii="Arial" w:eastAsia="Times New Roman" w:hAnsi="Arial" w:cs="Arial"/>
          <w:color w:val="222222"/>
          <w:sz w:val="19"/>
          <w:szCs w:val="19"/>
        </w:rPr>
        <w:t>You</w:t>
      </w:r>
      <w:proofErr w:type="gramEnd"/>
      <w:r w:rsidRPr="0015697A">
        <w:rPr>
          <w:rFonts w:ascii="Arial" w:eastAsia="Times New Roman" w:hAnsi="Arial" w:cs="Arial"/>
          <w:color w:val="222222"/>
          <w:sz w:val="19"/>
          <w:szCs w:val="19"/>
        </w:rPr>
        <w:t xml:space="preserve"> will find an updated copy of the meet announcement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ONE BIG CHANGE – THE AFTERNOON SESSIONS HAVE BEEN COMBINED INTO ONE POOL IN THE DEEP END ONLY – this allows for easier staffing, easier viewing, and better rest breaks for your athletes. We hope you will appreciate and enjoy the ability to do this this year.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15697A">
        <w:rPr>
          <w:rFonts w:ascii="Arial" w:eastAsia="Times New Roman" w:hAnsi="Arial" w:cs="Arial"/>
          <w:color w:val="222222"/>
          <w:sz w:val="19"/>
          <w:szCs w:val="19"/>
        </w:rPr>
        <w:t>Parking</w:t>
      </w:r>
      <w:proofErr w:type="gramEnd"/>
      <w:r w:rsidRPr="0015697A">
        <w:rPr>
          <w:rFonts w:ascii="Arial" w:eastAsia="Times New Roman" w:hAnsi="Arial" w:cs="Arial"/>
          <w:color w:val="222222"/>
          <w:sz w:val="19"/>
          <w:szCs w:val="19"/>
        </w:rPr>
        <w:t xml:space="preserve"> in the OC lot will be easily available on Saturday and Sunday, but Friday may be limited. There will be no in and out privileges this year. Weekend rates are $10.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15697A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15697A">
        <w:rPr>
          <w:rFonts w:ascii="Arial" w:eastAsia="Times New Roman" w:hAnsi="Arial" w:cs="Arial"/>
          <w:color w:val="222222"/>
          <w:sz w:val="19"/>
          <w:szCs w:val="19"/>
        </w:rPr>
        <w:t xml:space="preserve"> balcony will be closed to only those spectators with accessible needs. If you have anyone with needs, please have them contact Alycia Miller at </w:t>
      </w:r>
      <w:hyperlink r:id="rId4" w:tgtFrame="_blank" w:history="1">
        <w:r w:rsidRPr="0015697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anmiller@pitt.edu</w:t>
        </w:r>
      </w:hyperlink>
      <w:r w:rsidRPr="0015697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Thursday evening will begin at 5:30pm with warm-ups opening at 4:30pm.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Friday and Saturday afternoon will begin at 1:30pm with warm-ups opening at 12:30pm. All 10 and under positive check in events will be due no later than 1pm.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Sunday afternoon prelims will begin at 1pm with warm-ups opening at 12:00pm. 10 and under positive check in events will be due by12:30pm.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5697A">
        <w:rPr>
          <w:rFonts w:ascii="Symbol" w:eastAsia="Times New Roman" w:hAnsi="Symbol" w:cs="Arial"/>
          <w:color w:val="222222"/>
        </w:rPr>
        <w:t></w:t>
      </w:r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WARM-UP INFORMATION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5697A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On Friday and Sunday morning, AMS teams will have the pool for warm-up from 7-7:40am and NON-AMS teams will have the pool from 7:45-8:25am. On Saturday, this will flip-flop with NON-AMS teams having the pool from 7-7:40am and AMS teams from 7:45-8:25am. The small pool will be available for warm-up throughout the</w:t>
      </w:r>
      <w:proofErr w:type="gramStart"/>
      <w:r w:rsidRPr="0015697A">
        <w:rPr>
          <w:rFonts w:ascii="Arial" w:eastAsia="Times New Roman" w:hAnsi="Arial" w:cs="Arial"/>
          <w:color w:val="222222"/>
          <w:sz w:val="19"/>
          <w:szCs w:val="19"/>
        </w:rPr>
        <w:t>  morning</w:t>
      </w:r>
      <w:proofErr w:type="gramEnd"/>
      <w:r w:rsidRPr="0015697A">
        <w:rPr>
          <w:rFonts w:ascii="Arial" w:eastAsia="Times New Roman" w:hAnsi="Arial" w:cs="Arial"/>
          <w:color w:val="222222"/>
          <w:sz w:val="19"/>
          <w:szCs w:val="19"/>
        </w:rPr>
        <w:t xml:space="preserve"> sessions.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5697A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>On Friday afternoon, AMS teams will have the pool from 12:30-12:55pm and NON-AMS teams will have the pool from1-1:25pm. This will switch on Saturday afternoon with NON-AMS teams having the pool from 12:30-12:55pm, and AMS teams having the pool from 1-1:25pm. On Sunday afternoon, AMS teams will have the pool from 12-12:25pm while NON-AMS teams will have the pool from 12:30-12:55pm. The shallow end will be available for continuous warm-up in the afternoon. The small pool will be closed in the afternoons.</w:t>
      </w:r>
    </w:p>
    <w:p w:rsidR="0015697A" w:rsidRPr="0015697A" w:rsidRDefault="0015697A" w:rsidP="0015697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5697A">
        <w:rPr>
          <w:rFonts w:ascii="Courier New" w:eastAsia="Times New Roman" w:hAnsi="Courier New" w:cs="Courier New"/>
          <w:color w:val="222222"/>
        </w:rPr>
        <w:lastRenderedPageBreak/>
        <w:t>o</w:t>
      </w:r>
      <w:proofErr w:type="gramEnd"/>
      <w:r w:rsidRPr="0015697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15697A">
        <w:rPr>
          <w:rFonts w:ascii="Arial" w:eastAsia="Times New Roman" w:hAnsi="Arial" w:cs="Arial"/>
          <w:color w:val="222222"/>
          <w:sz w:val="19"/>
          <w:szCs w:val="19"/>
        </w:rPr>
        <w:t xml:space="preserve">For all evening sessions, lanes 1 and 2 in the deep end will be designated for 10 and </w:t>
      </w:r>
      <w:proofErr w:type="spellStart"/>
      <w:r w:rsidRPr="0015697A">
        <w:rPr>
          <w:rFonts w:ascii="Arial" w:eastAsia="Times New Roman" w:hAnsi="Arial" w:cs="Arial"/>
          <w:color w:val="222222"/>
          <w:sz w:val="19"/>
          <w:szCs w:val="19"/>
        </w:rPr>
        <w:t>unders</w:t>
      </w:r>
      <w:proofErr w:type="spellEnd"/>
      <w:r w:rsidRPr="0015697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 </w:t>
      </w: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As always, if you have any questions, let us know. We are looking forward to an exciting weekend with you and your athletes.</w:t>
      </w: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 </w:t>
      </w:r>
    </w:p>
    <w:p w:rsidR="0015697A" w:rsidRPr="0015697A" w:rsidRDefault="0015697A" w:rsidP="0015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5697A">
        <w:rPr>
          <w:rFonts w:ascii="Calibri" w:eastAsia="Times New Roman" w:hAnsi="Calibri" w:cs="Times New Roman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291"/>
      </w:tblGrid>
      <w:tr w:rsidR="0015697A" w:rsidRPr="0015697A" w:rsidTr="0015697A"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7A" w:rsidRPr="0015697A" w:rsidRDefault="0015697A" w:rsidP="0015697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  <w:p w:rsidR="0015697A" w:rsidRPr="0015697A" w:rsidRDefault="0015697A" w:rsidP="0015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hyperlink r:id="rId5" w:tgtFrame="_blank" w:history="1">
              <w:r w:rsidRPr="0015697A">
                <w:rPr>
                  <w:rFonts w:ascii="Calibri" w:eastAsia="Times New Roman" w:hAnsi="Calibri" w:cs="Times New Roman"/>
                  <w:b/>
                  <w:bCs/>
                  <w:color w:val="0563C1"/>
                  <w:sz w:val="32"/>
                  <w:szCs w:val="32"/>
                  <w:u w:val="single"/>
                </w:rPr>
                <w:t>#H2oP</w:t>
              </w:r>
            </w:hyperlink>
          </w:p>
        </w:tc>
        <w:tc>
          <w:tcPr>
            <w:tcW w:w="7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8"/>
            </w:tblGrid>
            <w:tr w:rsidR="0015697A" w:rsidRPr="001569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5697A" w:rsidRPr="0015697A" w:rsidRDefault="0015697A" w:rsidP="0015697A">
                  <w:pPr>
                    <w:spacing w:after="0" w:line="231" w:lineRule="atLeast"/>
                    <w:rPr>
                      <w:rFonts w:ascii="Calibri" w:eastAsia="Times New Roman" w:hAnsi="Calibri" w:cs="Times New Roman"/>
                    </w:rPr>
                  </w:pPr>
                  <w:r w:rsidRPr="0015697A">
                    <w:rPr>
                      <w:rFonts w:ascii="Calibri" w:eastAsia="Times New Roman" w:hAnsi="Calibri" w:cs="Times New Roman"/>
                      <w:b/>
                      <w:bCs/>
                      <w:color w:val="00274B"/>
                    </w:rPr>
                    <w:t xml:space="preserve">Jeff </w:t>
                  </w:r>
                  <w:proofErr w:type="spellStart"/>
                  <w:r w:rsidRPr="0015697A">
                    <w:rPr>
                      <w:rFonts w:ascii="Calibri" w:eastAsia="Times New Roman" w:hAnsi="Calibri" w:cs="Times New Roman"/>
                      <w:b/>
                      <w:bCs/>
                      <w:color w:val="00274B"/>
                    </w:rPr>
                    <w:t>Berghoff</w:t>
                  </w:r>
                  <w:proofErr w:type="spellEnd"/>
                  <w:r w:rsidRPr="0015697A">
                    <w:rPr>
                      <w:rFonts w:ascii="Calibri" w:eastAsia="Times New Roman" w:hAnsi="Calibri" w:cs="Times New Roman"/>
                      <w:b/>
                      <w:bCs/>
                      <w:color w:val="00274B"/>
                    </w:rPr>
                    <w:t> </w:t>
                  </w:r>
                  <w:r w:rsidRPr="0015697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ASSISTANT HEAD COACH WOMEN'S SWIMMING </w:t>
                  </w:r>
                  <w:r w:rsidRPr="0015697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University of Pittsburgh | Department of Athletics </w:t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br/>
                    <w:t>Fitzgerald Field House </w:t>
                  </w:r>
                  <w:r w:rsidRPr="0015697A">
                    <w:rPr>
                      <w:rFonts w:ascii="Calibri" w:eastAsia="Times New Roman" w:hAnsi="Calibri" w:cs="Times New Roman"/>
                      <w:color w:val="B9B9B9"/>
                      <w:sz w:val="15"/>
                      <w:szCs w:val="15"/>
                    </w:rPr>
                    <w:t>|</w:t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 </w:t>
                  </w:r>
                  <w:proofErr w:type="spellStart"/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Allequippa</w:t>
                  </w:r>
                  <w:proofErr w:type="spellEnd"/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 xml:space="preserve"> / </w:t>
                  </w:r>
                  <w:proofErr w:type="spellStart"/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Darragh</w:t>
                  </w:r>
                  <w:proofErr w:type="spellEnd"/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 xml:space="preserve"> St. </w:t>
                  </w:r>
                  <w:r w:rsidRPr="0015697A">
                    <w:rPr>
                      <w:rFonts w:ascii="Calibri" w:eastAsia="Times New Roman" w:hAnsi="Calibri" w:cs="Times New Roman"/>
                      <w:color w:val="B9B9B9"/>
                      <w:sz w:val="15"/>
                      <w:szCs w:val="15"/>
                    </w:rPr>
                    <w:t>|</w:t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 Pittsburgh, PA 15261 </w:t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br/>
                  </w:r>
                  <w:hyperlink r:id="rId6" w:tgtFrame="_blank" w:history="1">
                    <w:r w:rsidRPr="0015697A">
                      <w:rPr>
                        <w:rFonts w:ascii="Calibri" w:eastAsia="Times New Roman" w:hAnsi="Calibri" w:cs="Times New Roman"/>
                        <w:color w:val="00274B"/>
                        <w:u w:val="single"/>
                      </w:rPr>
                      <w:t>berghoff@pitt.edu </w:t>
                    </w:r>
                  </w:hyperlink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br/>
                    <w:t>office </w:t>
                  </w:r>
                  <w:hyperlink r:id="rId7" w:tgtFrame="_blank" w:history="1">
                    <w:r w:rsidRPr="0015697A">
                      <w:rPr>
                        <w:rFonts w:ascii="Calibri" w:eastAsia="Times New Roman" w:hAnsi="Calibri" w:cs="Times New Roman"/>
                        <w:color w:val="1155CC"/>
                        <w:u w:val="single"/>
                      </w:rPr>
                      <w:t>(412) 648-8340</w:t>
                    </w:r>
                  </w:hyperlink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  </w:t>
                  </w:r>
                  <w:r w:rsidRPr="0015697A">
                    <w:rPr>
                      <w:rFonts w:ascii="Calibri" w:eastAsia="Times New Roman" w:hAnsi="Calibri" w:cs="Times New Roman"/>
                      <w:color w:val="B9B9B9"/>
                      <w:sz w:val="15"/>
                      <w:szCs w:val="15"/>
                    </w:rPr>
                    <w:t>|</w:t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 mobile (412) 849-2350  </w:t>
                  </w:r>
                  <w:r w:rsidRPr="0015697A">
                    <w:rPr>
                      <w:rFonts w:ascii="Calibri" w:eastAsia="Times New Roman" w:hAnsi="Calibri" w:cs="Times New Roman"/>
                      <w:color w:val="B9B9B9"/>
                      <w:sz w:val="15"/>
                      <w:szCs w:val="15"/>
                    </w:rPr>
                    <w:t>|</w:t>
                  </w:r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 fax </w:t>
                  </w:r>
                  <w:hyperlink r:id="rId8" w:tgtFrame="_blank" w:history="1">
                    <w:r w:rsidRPr="0015697A">
                      <w:rPr>
                        <w:rFonts w:ascii="Calibri" w:eastAsia="Times New Roman" w:hAnsi="Calibri" w:cs="Times New Roman"/>
                        <w:color w:val="1155CC"/>
                        <w:u w:val="single"/>
                      </w:rPr>
                      <w:t>(412) 648-1264</w:t>
                    </w:r>
                  </w:hyperlink>
                  <w:r w:rsidRPr="0015697A">
                    <w:rPr>
                      <w:rFonts w:ascii="Calibri" w:eastAsia="Times New Roman" w:hAnsi="Calibri" w:cs="Times New Roman"/>
                      <w:color w:val="00274B"/>
                    </w:rPr>
                    <w:t> </w:t>
                  </w:r>
                  <w:r w:rsidRPr="0015697A"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  <w:t> </w:t>
                  </w:r>
                </w:p>
              </w:tc>
            </w:tr>
            <w:tr w:rsidR="0015697A" w:rsidRPr="001569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6"/>
                    <w:gridCol w:w="6"/>
                  </w:tblGrid>
                  <w:tr w:rsidR="0015697A" w:rsidRPr="001569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697A" w:rsidRPr="0015697A" w:rsidRDefault="0015697A" w:rsidP="0015697A">
                        <w:pPr>
                          <w:spacing w:after="0" w:line="231" w:lineRule="atLeast"/>
                          <w:rPr>
                            <w:rFonts w:ascii="Calibri" w:eastAsia="Times New Roman" w:hAnsi="Calibri" w:cs="Times New Roman"/>
                          </w:rPr>
                        </w:pPr>
                        <w:hyperlink r:id="rId9" w:tgtFrame="_blank" w:history="1">
                          <w:r w:rsidRPr="0015697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274B"/>
                              <w:u w:val="single"/>
                            </w:rPr>
                            <w:t>website</w:t>
                          </w:r>
                        </w:hyperlink>
                        <w:r w:rsidRPr="0015697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274B"/>
                          </w:rPr>
                          <w:t> |  </w:t>
                        </w:r>
                        <w:hyperlink r:id="rId10" w:tgtFrame="_blank" w:history="1">
                          <w:r w:rsidRPr="0015697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274B"/>
                              <w:u w:val="single"/>
                            </w:rPr>
                            <w:t>Swimming &amp; Diving site</w:t>
                          </w:r>
                        </w:hyperlink>
                        <w:r w:rsidRPr="0015697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274B"/>
                          </w:rPr>
                          <w:t> |  </w:t>
                        </w:r>
                        <w:hyperlink r:id="rId11" w:tgtFrame="_blank" w:history="1">
                          <w:r w:rsidRPr="0015697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274B"/>
                              <w:u w:val="single"/>
                            </w:rPr>
                            <w:t>vCard</w:t>
                          </w:r>
                        </w:hyperlink>
                        <w:r w:rsidRPr="0015697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274B"/>
                          </w:rPr>
                          <w:t> |  </w:t>
                        </w:r>
                        <w:hyperlink r:id="rId12" w:tgtFrame="_blank" w:history="1">
                          <w:r w:rsidRPr="0015697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274B"/>
                              <w:u w:val="single"/>
                            </w:rPr>
                            <w:t>map</w:t>
                          </w:r>
                        </w:hyperlink>
                        <w:r w:rsidRPr="0015697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274B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697A" w:rsidRPr="0015697A" w:rsidRDefault="0015697A" w:rsidP="0015697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15697A" w:rsidRPr="0015697A" w:rsidRDefault="0015697A" w:rsidP="0015697A">
                  <w:pPr>
                    <w:spacing w:after="0" w:line="231" w:lineRule="atLeast"/>
                    <w:rPr>
                      <w:rFonts w:ascii="Calibri" w:eastAsia="Times New Roman" w:hAnsi="Calibri" w:cs="Times New Roman"/>
                    </w:rPr>
                  </w:pPr>
                  <w:r w:rsidRPr="001569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"/>
                  </w:tblGrid>
                  <w:tr w:rsidR="0015697A" w:rsidRPr="0015697A">
                    <w:trPr>
                      <w:tblCellSpacing w:w="22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697A" w:rsidRPr="0015697A" w:rsidRDefault="0015697A" w:rsidP="0015697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1569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5697A" w:rsidRPr="0015697A" w:rsidRDefault="0015697A" w:rsidP="0015697A">
                  <w:pPr>
                    <w:spacing w:after="0" w:line="231" w:lineRule="atLeast"/>
                    <w:rPr>
                      <w:rFonts w:ascii="Calibri" w:eastAsia="Times New Roman" w:hAnsi="Calibri" w:cs="Times New Roman"/>
                    </w:rPr>
                  </w:pPr>
                  <w:r w:rsidRPr="001569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"/>
                  </w:tblGrid>
                  <w:tr w:rsidR="0015697A" w:rsidRPr="0015697A">
                    <w:trPr>
                      <w:tblCellSpacing w:w="22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5697A" w:rsidRPr="0015697A" w:rsidRDefault="0015697A" w:rsidP="0015697A">
                        <w:pPr>
                          <w:spacing w:after="0" w:line="231" w:lineRule="atLeast"/>
                          <w:rPr>
                            <w:rFonts w:ascii="Calibri" w:eastAsia="Times New Roman" w:hAnsi="Calibri" w:cs="Times New Roman"/>
                          </w:rPr>
                        </w:pPr>
                        <w:r w:rsidRPr="001569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5697A" w:rsidRPr="0015697A" w:rsidRDefault="0015697A" w:rsidP="001569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697A" w:rsidRPr="0015697A" w:rsidRDefault="0015697A" w:rsidP="0015697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EC40B9" w:rsidRDefault="00EC40B9"/>
    <w:sectPr w:rsidR="00EC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7A"/>
    <w:rsid w:val="0015697A"/>
    <w:rsid w:val="00E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E8A3-0A4B-489E-B29D-BBBC82D2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412%29%20648-12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%28412%29%20648-8340" TargetMode="External"/><Relationship Id="rId12" Type="http://schemas.openxmlformats.org/officeDocument/2006/relationships/hyperlink" Target="http://goo.gl/maps/GqE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hoff@pitt.edu" TargetMode="External"/><Relationship Id="rId11" Type="http://schemas.openxmlformats.org/officeDocument/2006/relationships/hyperlink" Target="http://www.dynasend.com/signatures/get.php/berghoff-at-pitt.edu.vcf" TargetMode="External"/><Relationship Id="rId5" Type="http://schemas.openxmlformats.org/officeDocument/2006/relationships/hyperlink" Target="https://twitter.com/hashtag/h2op" TargetMode="External"/><Relationship Id="rId10" Type="http://schemas.openxmlformats.org/officeDocument/2006/relationships/hyperlink" Target="http://www.pittsburghpanthers.com/sports/c-swim/pitt-c-swim-body.html" TargetMode="External"/><Relationship Id="rId4" Type="http://schemas.openxmlformats.org/officeDocument/2006/relationships/hyperlink" Target="mailto:anmiller@pitt.edu" TargetMode="External"/><Relationship Id="rId9" Type="http://schemas.openxmlformats.org/officeDocument/2006/relationships/hyperlink" Target="http://www.pittsburghpanthe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2015-12-16T16:21:00Z</dcterms:created>
  <dcterms:modified xsi:type="dcterms:W3CDTF">2015-12-16T16:24:00Z</dcterms:modified>
</cp:coreProperties>
</file>