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rtl w:val="0"/>
        </w:rPr>
        <w:t xml:space="preserve">September 2020 Metropolitan Swimming  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rtl w:val="0"/>
        </w:rPr>
        <w:t xml:space="preserve">House of Delegates 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rtl w:val="0"/>
        </w:rPr>
        <w:t xml:space="preserve">AGE GROUP Report</w:t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Kate Hallex and BJ Reynoso</w:t>
      </w:r>
    </w:p>
    <w:p w:rsidR="00000000" w:rsidDel="00000000" w:rsidP="00000000" w:rsidRDefault="00000000" w:rsidRPr="00000000" w14:paraId="00000006">
      <w:pPr>
        <w:ind w:left="0" w:firstLine="0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As a reminder the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tech suit restrictions</w:t>
        </w:r>
      </w:hyperlink>
      <w:r w:rsidDel="00000000" w:rsidR="00000000" w:rsidRPr="00000000">
        <w:rPr>
          <w:color w:val="333333"/>
          <w:sz w:val="24"/>
          <w:szCs w:val="24"/>
          <w:rtl w:val="0"/>
        </w:rPr>
        <w:t xml:space="preserve">, proposed by the Age Group Development Committee, will go into effect for 12-and-under swimmers beginning September 1, 2020.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Refer to:</w:t>
      </w:r>
    </w:p>
    <w:p w:rsidR="00000000" w:rsidDel="00000000" w:rsidP="00000000" w:rsidRDefault="00000000" w:rsidRPr="00000000" w14:paraId="0000000B">
      <w:pPr>
        <w:rPr>
          <w:color w:val="333333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Rule </w:t>
      </w:r>
      <w:r w:rsidDel="00000000" w:rsidR="00000000" w:rsidRPr="00000000">
        <w:rPr>
          <w:b w:val="1"/>
          <w:color w:val="333333"/>
          <w:rtl w:val="0"/>
        </w:rPr>
        <w:t xml:space="preserve">102.8 SWIMWEAR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pBdr>
          <w:bottom w:color="auto" w:space="15" w:sz="0" w:val="none"/>
        </w:pBdr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.1 Design </w:t>
      </w:r>
    </w:p>
    <w:p w:rsidR="00000000" w:rsidDel="00000000" w:rsidP="00000000" w:rsidRDefault="00000000" w:rsidRPr="00000000" w14:paraId="0000000D">
      <w:pPr>
        <w:pBdr>
          <w:bottom w:color="auto" w:space="15" w:sz="0" w:val="none"/>
        </w:pBdr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F. No Technical Suit may be worn by any 12 &amp; Under USA Swimming athlete member in competition at any Sanctioned, Approved or Observed meet. </w:t>
      </w:r>
    </w:p>
    <w:p w:rsidR="00000000" w:rsidDel="00000000" w:rsidP="00000000" w:rsidRDefault="00000000" w:rsidRPr="00000000" w14:paraId="0000000E">
      <w:pPr>
        <w:pBdr>
          <w:bottom w:color="auto" w:space="15" w:sz="0" w:val="none"/>
        </w:pBdr>
        <w:rPr>
          <w:i w:val="1"/>
          <w:color w:val="333333"/>
        </w:rPr>
      </w:pPr>
      <w:r w:rsidDel="00000000" w:rsidR="00000000" w:rsidRPr="00000000">
        <w:rPr>
          <w:i w:val="1"/>
          <w:color w:val="333333"/>
          <w:rtl w:val="0"/>
        </w:rPr>
        <w:t xml:space="preserve">1) A Technical Suit is one that has the following components: </w:t>
      </w:r>
    </w:p>
    <w:p w:rsidR="00000000" w:rsidDel="00000000" w:rsidP="00000000" w:rsidRDefault="00000000" w:rsidRPr="00000000" w14:paraId="0000000F">
      <w:pPr>
        <w:pBdr>
          <w:bottom w:color="auto" w:space="15" w:sz="0" w:val="none"/>
        </w:pBdr>
        <w:rPr>
          <w:i w:val="1"/>
          <w:color w:val="333333"/>
        </w:rPr>
      </w:pPr>
      <w:r w:rsidDel="00000000" w:rsidR="00000000" w:rsidRPr="00000000">
        <w:rPr>
          <w:i w:val="1"/>
          <w:color w:val="333333"/>
          <w:rtl w:val="0"/>
        </w:rPr>
        <w:t xml:space="preserve">a. Any suit with any bonded or taped seams regardless of its fabric or silhouette; or </w:t>
      </w:r>
    </w:p>
    <w:p w:rsidR="00000000" w:rsidDel="00000000" w:rsidP="00000000" w:rsidRDefault="00000000" w:rsidRPr="00000000" w14:paraId="00000010">
      <w:pPr>
        <w:pBdr>
          <w:bottom w:color="auto" w:space="15" w:sz="0" w:val="none"/>
        </w:pBdr>
        <w:rPr>
          <w:i w:val="1"/>
          <w:color w:val="333333"/>
        </w:rPr>
      </w:pPr>
      <w:r w:rsidDel="00000000" w:rsidR="00000000" w:rsidRPr="00000000">
        <w:rPr>
          <w:i w:val="1"/>
          <w:color w:val="333333"/>
          <w:rtl w:val="0"/>
        </w:rPr>
        <w:t xml:space="preserve">b. Any suit with woven fabric extending past the hips.</w:t>
      </w:r>
    </w:p>
    <w:p w:rsidR="00000000" w:rsidDel="00000000" w:rsidP="00000000" w:rsidRDefault="00000000" w:rsidRPr="00000000" w14:paraId="00000011">
      <w:pPr>
        <w:pBdr>
          <w:bottom w:color="auto" w:space="15" w:sz="0" w:val="none"/>
        </w:pBdr>
        <w:rPr>
          <w:color w:val="1155cc"/>
          <w:u w:val="singl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Restricted Suits</w:t>
        </w:r>
      </w:hyperlink>
      <w:r w:rsidDel="00000000" w:rsidR="00000000" w:rsidRPr="00000000">
        <w:rPr>
          <w:color w:val="333333"/>
          <w:rtl w:val="0"/>
        </w:rPr>
        <w:t xml:space="preserve">   vs. 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Approved Suits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II.</w:t>
      </w:r>
    </w:p>
    <w:p w:rsidR="00000000" w:rsidDel="00000000" w:rsidP="00000000" w:rsidRDefault="00000000" w:rsidRPr="00000000" w14:paraId="00000014">
      <w:pPr>
        <w:pBdr>
          <w:bottom w:color="auto" w:space="15" w:sz="0" w:val="none"/>
        </w:pBdr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At the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Eastern Zone Meeting</w:t>
        </w:r>
      </w:hyperlink>
      <w:r w:rsidDel="00000000" w:rsidR="00000000" w:rsidRPr="00000000">
        <w:rPr>
          <w:color w:val="333333"/>
          <w:rtl w:val="0"/>
        </w:rPr>
        <w:t xml:space="preserve"> it was decided that since the 2020 LC </w:t>
      </w:r>
      <w:r w:rsidDel="00000000" w:rsidR="00000000" w:rsidRPr="00000000">
        <w:rPr>
          <w:color w:val="333333"/>
          <w:rtl w:val="0"/>
        </w:rPr>
        <w:t xml:space="preserve">Age Group Zone meet was canceled, the beginning of the qualifying period for all 2021 Zone Championship meets is to be January 1, 2019.</w:t>
      </w:r>
    </w:p>
    <w:p w:rsidR="00000000" w:rsidDel="00000000" w:rsidP="00000000" w:rsidRDefault="00000000" w:rsidRPr="00000000" w14:paraId="00000015">
      <w:pPr>
        <w:pBdr>
          <w:bottom w:color="auto" w:space="15" w:sz="0" w:val="none"/>
        </w:pBd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auto" w:space="15" w:sz="0" w:val="none"/>
        </w:pBd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asternzoneswimming.org/minutes/ezm2020-04-draft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usaswimming.org/news/2019/09/12/tech-suit-restriction-for-12-and-under-swimmers" TargetMode="External"/><Relationship Id="rId7" Type="http://schemas.openxmlformats.org/officeDocument/2006/relationships/hyperlink" Target="https://www.usaswimming.org/docs/default-source/rules-regulations/tech-suit-restrictions/12-under-restricted-suits.pdf" TargetMode="External"/><Relationship Id="rId8" Type="http://schemas.openxmlformats.org/officeDocument/2006/relationships/hyperlink" Target="https://www.usaswimming.org/docs/default-source/rules-regulations/tech-suit-restrictions/12-under-approved-sui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