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ARTICLE 306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SEXUAL MISCONDUCT REPORTING REQUIREMENTS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306.1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is every member’s responsibility to promptly report any incident regarding sexual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misconduct by a member as described in Article 304.3.7 to USA Swimming’s Director of Safe Sport.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Reporting must occur when an individual has firsthand knowledge of misconduct or where specific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credible information has been received from a victim or knowledgeable third party. Various state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laws may also require reporting to law enforcement or to a designated child protection agency.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306.2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Filing a knowingly false allegation of sexual misconduct is prohibited and may violate state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criminal law and civil defamation laws. Any person making a knowingly false allegation of sexual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misconduct shall be subject to disciplinary action by USA Swimming.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306.3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Neither civil nor criminal statutes of limitation apply to reports of cases of sexual abuse.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