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TICLE 306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EXUAL MISCONDUCT REPORTING REQUIREMENTS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6.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t is every member’s responsibility to promptly report any incident regarding sexu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sconduct by a member as described in Article 304.3.7 to USA Swimming’s Director of Safe Spor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porting must occur when an individual has firsthand knowledge of misconduct or where specif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d credible information has been received from a victim or knowledgeable third party. Various st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ws may also require reporting to law enforcement or to a designated child protection agenc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6.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ling a knowingly false allegation of sexual misconduct is prohibited and may violate sta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iminal law and civil defamation laws. Any person making a knowingly false allegation of sexu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isconduct shall be subject to disciplinary action by USA Swimm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306.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either civil nor criminal statutes of limitation apply to reports of cases of sexual abus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