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A235" w14:textId="77777777" w:rsidR="00206A8B" w:rsidRPr="00631E01" w:rsidRDefault="00D40ADC">
      <w:pPr>
        <w:spacing w:after="0" w:line="259" w:lineRule="auto"/>
        <w:ind w:left="0" w:firstLine="0"/>
        <w:rPr>
          <w:szCs w:val="20"/>
        </w:rPr>
      </w:pPr>
      <w:r w:rsidRPr="00631E01">
        <w:rPr>
          <w:szCs w:val="20"/>
        </w:rPr>
        <w:t xml:space="preserve">  </w:t>
      </w:r>
      <w:r w:rsidRPr="00631E01">
        <w:rPr>
          <w:szCs w:val="20"/>
        </w:rPr>
        <w:tab/>
        <w:t xml:space="preserve"> </w:t>
      </w:r>
    </w:p>
    <w:tbl>
      <w:tblPr>
        <w:tblStyle w:val="TableGrid"/>
        <w:tblW w:w="9808" w:type="dxa"/>
        <w:tblInd w:w="2" w:type="dxa"/>
        <w:tblCellMar>
          <w:top w:w="8" w:type="dxa"/>
        </w:tblCellMar>
        <w:tblLook w:val="04A0" w:firstRow="1" w:lastRow="0" w:firstColumn="1" w:lastColumn="0" w:noHBand="0" w:noVBand="1"/>
      </w:tblPr>
      <w:tblGrid>
        <w:gridCol w:w="4579"/>
        <w:gridCol w:w="7"/>
        <w:gridCol w:w="5222"/>
      </w:tblGrid>
      <w:tr w:rsidR="00BA126A" w:rsidRPr="00261AB2" w14:paraId="63AD55D3" w14:textId="77777777" w:rsidTr="00EA7CBF">
        <w:trPr>
          <w:trHeight w:val="676"/>
        </w:trPr>
        <w:tc>
          <w:tcPr>
            <w:tcW w:w="4586" w:type="dxa"/>
            <w:gridSpan w:val="2"/>
            <w:tcBorders>
              <w:top w:val="single" w:sz="7" w:space="0" w:color="000000"/>
              <w:left w:val="single" w:sz="7" w:space="0" w:color="000000"/>
              <w:bottom w:val="single" w:sz="7" w:space="0" w:color="000000"/>
              <w:right w:val="single" w:sz="7" w:space="0" w:color="000000"/>
            </w:tcBorders>
            <w:shd w:val="clear" w:color="auto" w:fill="CCCCCC"/>
            <w:vAlign w:val="bottom"/>
          </w:tcPr>
          <w:p w14:paraId="66FFFFDB" w14:textId="15D04877" w:rsidR="00BA126A" w:rsidRPr="00261AB2" w:rsidRDefault="00BA126A" w:rsidP="00BA126A">
            <w:pPr>
              <w:spacing w:after="0" w:line="259" w:lineRule="auto"/>
              <w:ind w:left="129" w:firstLine="0"/>
              <w:jc w:val="center"/>
              <w:rPr>
                <w:sz w:val="28"/>
                <w:szCs w:val="28"/>
              </w:rPr>
            </w:pPr>
            <w:r w:rsidRPr="00261AB2">
              <w:rPr>
                <w:sz w:val="28"/>
                <w:szCs w:val="28"/>
              </w:rPr>
              <w:t>Pacific Northwest Swimming Rules and Procedures</w:t>
            </w:r>
          </w:p>
        </w:tc>
        <w:tc>
          <w:tcPr>
            <w:tcW w:w="5222" w:type="dxa"/>
            <w:tcBorders>
              <w:top w:val="single" w:sz="7" w:space="0" w:color="000000"/>
              <w:left w:val="single" w:sz="7" w:space="0" w:color="000000"/>
              <w:bottom w:val="single" w:sz="7" w:space="0" w:color="000000"/>
              <w:right w:val="single" w:sz="7" w:space="0" w:color="000000"/>
            </w:tcBorders>
          </w:tcPr>
          <w:p w14:paraId="06075DFD" w14:textId="6D49A399" w:rsidR="00BA126A" w:rsidRPr="00261AB2" w:rsidRDefault="00C918F7">
            <w:pPr>
              <w:spacing w:after="0" w:line="259" w:lineRule="auto"/>
              <w:ind w:left="0" w:firstLine="0"/>
              <w:jc w:val="center"/>
              <w:rPr>
                <w:sz w:val="28"/>
                <w:szCs w:val="28"/>
              </w:rPr>
            </w:pPr>
            <w:r w:rsidRPr="00261AB2">
              <w:rPr>
                <w:sz w:val="28"/>
                <w:szCs w:val="28"/>
              </w:rPr>
              <w:t>Budget and Reserve</w:t>
            </w:r>
            <w:r w:rsidR="00BA126A" w:rsidRPr="00261AB2">
              <w:rPr>
                <w:sz w:val="28"/>
                <w:szCs w:val="28"/>
              </w:rPr>
              <w:t xml:space="preserve"> Policy </w:t>
            </w:r>
          </w:p>
        </w:tc>
      </w:tr>
      <w:tr w:rsidR="00206A8B" w:rsidRPr="00261AB2" w14:paraId="6F4556B8" w14:textId="77777777" w:rsidTr="00BA126A">
        <w:trPr>
          <w:trHeight w:val="537"/>
        </w:trPr>
        <w:tc>
          <w:tcPr>
            <w:tcW w:w="4579" w:type="dxa"/>
            <w:tcBorders>
              <w:top w:val="single" w:sz="7" w:space="0" w:color="000000"/>
              <w:left w:val="single" w:sz="7" w:space="0" w:color="000000"/>
              <w:bottom w:val="single" w:sz="7" w:space="0" w:color="000000"/>
              <w:right w:val="single" w:sz="7" w:space="0" w:color="000000"/>
            </w:tcBorders>
          </w:tcPr>
          <w:p w14:paraId="0BC27239" w14:textId="00A1E9DC" w:rsidR="00206A8B" w:rsidRPr="00261AB2" w:rsidRDefault="00D40ADC">
            <w:pPr>
              <w:spacing w:after="0" w:line="259" w:lineRule="auto"/>
              <w:ind w:left="0" w:right="4" w:firstLine="0"/>
              <w:jc w:val="center"/>
              <w:rPr>
                <w:sz w:val="24"/>
                <w:szCs w:val="24"/>
              </w:rPr>
            </w:pPr>
            <w:r w:rsidRPr="00261AB2">
              <w:rPr>
                <w:sz w:val="24"/>
                <w:szCs w:val="24"/>
              </w:rPr>
              <w:t>Index AD</w:t>
            </w:r>
            <w:r w:rsidR="00D92226" w:rsidRPr="00261AB2">
              <w:rPr>
                <w:sz w:val="24"/>
                <w:szCs w:val="24"/>
              </w:rPr>
              <w:t>-</w:t>
            </w:r>
            <w:r w:rsidR="00C918F7" w:rsidRPr="00261AB2">
              <w:rPr>
                <w:sz w:val="24"/>
                <w:szCs w:val="24"/>
              </w:rPr>
              <w:t>21</w:t>
            </w:r>
            <w:r w:rsidR="00D92226" w:rsidRPr="00261AB2">
              <w:rPr>
                <w:sz w:val="24"/>
                <w:szCs w:val="24"/>
              </w:rPr>
              <w:t>-0</w:t>
            </w:r>
            <w:r w:rsidR="00A50383" w:rsidRPr="00261AB2">
              <w:rPr>
                <w:sz w:val="24"/>
                <w:szCs w:val="24"/>
              </w:rPr>
              <w:t>4</w:t>
            </w:r>
            <w:r w:rsidRPr="00261AB2">
              <w:rPr>
                <w:sz w:val="24"/>
                <w:szCs w:val="24"/>
              </w:rPr>
              <w:t xml:space="preserve"> </w:t>
            </w:r>
          </w:p>
        </w:tc>
        <w:tc>
          <w:tcPr>
            <w:tcW w:w="5229" w:type="dxa"/>
            <w:gridSpan w:val="2"/>
            <w:tcBorders>
              <w:top w:val="single" w:sz="7" w:space="0" w:color="000000"/>
              <w:left w:val="single" w:sz="7" w:space="0" w:color="000000"/>
              <w:bottom w:val="single" w:sz="7" w:space="0" w:color="000000"/>
              <w:right w:val="single" w:sz="7" w:space="0" w:color="000000"/>
            </w:tcBorders>
          </w:tcPr>
          <w:p w14:paraId="3DA49DC5" w14:textId="3000D045" w:rsidR="00206A8B" w:rsidRPr="00261AB2" w:rsidRDefault="00D40ADC" w:rsidP="00BA126A">
            <w:pPr>
              <w:spacing w:after="0" w:line="259" w:lineRule="auto"/>
              <w:ind w:left="361" w:right="1" w:firstLine="0"/>
              <w:jc w:val="center"/>
              <w:rPr>
                <w:sz w:val="24"/>
                <w:szCs w:val="24"/>
              </w:rPr>
            </w:pPr>
            <w:r w:rsidRPr="00261AB2">
              <w:rPr>
                <w:sz w:val="24"/>
                <w:szCs w:val="24"/>
              </w:rPr>
              <w:t>Effective Date</w:t>
            </w:r>
            <w:r w:rsidR="00BA126A" w:rsidRPr="00261AB2">
              <w:rPr>
                <w:sz w:val="24"/>
                <w:szCs w:val="24"/>
              </w:rPr>
              <w:t>:</w:t>
            </w:r>
            <w:r w:rsidRPr="00261AB2">
              <w:rPr>
                <w:sz w:val="24"/>
                <w:szCs w:val="24"/>
              </w:rPr>
              <w:t xml:space="preserve">  </w:t>
            </w:r>
            <w:r w:rsidR="00261AB2">
              <w:rPr>
                <w:sz w:val="24"/>
                <w:szCs w:val="24"/>
              </w:rPr>
              <w:t>03/08/2021</w:t>
            </w:r>
            <w:r w:rsidRPr="00261AB2">
              <w:rPr>
                <w:sz w:val="24"/>
                <w:szCs w:val="24"/>
              </w:rPr>
              <w:t xml:space="preserve"> </w:t>
            </w:r>
          </w:p>
        </w:tc>
      </w:tr>
      <w:tr w:rsidR="00261AB2" w:rsidRPr="00261AB2" w14:paraId="6A048591" w14:textId="77777777" w:rsidTr="00061000">
        <w:trPr>
          <w:trHeight w:val="537"/>
        </w:trPr>
        <w:tc>
          <w:tcPr>
            <w:tcW w:w="9808" w:type="dxa"/>
            <w:gridSpan w:val="3"/>
            <w:tcBorders>
              <w:top w:val="single" w:sz="7" w:space="0" w:color="000000"/>
              <w:left w:val="single" w:sz="7" w:space="0" w:color="000000"/>
              <w:bottom w:val="single" w:sz="7" w:space="0" w:color="000000"/>
              <w:right w:val="single" w:sz="7" w:space="0" w:color="000000"/>
            </w:tcBorders>
          </w:tcPr>
          <w:p w14:paraId="7DEF8D16" w14:textId="1B7BB830" w:rsidR="00261AB2" w:rsidRPr="00261AB2" w:rsidRDefault="00261AB2" w:rsidP="00261AB2">
            <w:pPr>
              <w:spacing w:after="0" w:line="259" w:lineRule="auto"/>
              <w:ind w:right="1"/>
              <w:rPr>
                <w:szCs w:val="20"/>
              </w:rPr>
            </w:pPr>
            <w:r w:rsidRPr="00261AB2">
              <w:rPr>
                <w:szCs w:val="20"/>
              </w:rPr>
              <w:t>03/08/2021:  Original</w:t>
            </w:r>
          </w:p>
        </w:tc>
      </w:tr>
    </w:tbl>
    <w:p w14:paraId="72A34FC3" w14:textId="77777777" w:rsidR="008A370F" w:rsidRPr="00631E01" w:rsidRDefault="00D40ADC" w:rsidP="008A370F">
      <w:pPr>
        <w:pStyle w:val="ListParagraph"/>
        <w:spacing w:after="0"/>
        <w:ind w:left="0"/>
        <w:rPr>
          <w:rFonts w:ascii="Arial" w:hAnsi="Arial" w:cs="Arial"/>
          <w:sz w:val="20"/>
          <w:szCs w:val="20"/>
        </w:rPr>
      </w:pPr>
      <w:r w:rsidRPr="00631E01">
        <w:rPr>
          <w:rFonts w:ascii="Arial" w:hAnsi="Arial" w:cs="Arial"/>
          <w:sz w:val="20"/>
          <w:szCs w:val="20"/>
        </w:rPr>
        <w:t xml:space="preserve"> </w:t>
      </w:r>
      <w:r w:rsidR="008A370F" w:rsidRPr="00631E01">
        <w:rPr>
          <w:rFonts w:ascii="Arial" w:hAnsi="Arial" w:cs="Arial"/>
          <w:sz w:val="20"/>
          <w:szCs w:val="20"/>
        </w:rPr>
        <w:t xml:space="preserve">BUDGET AND RESERVE POLICY </w:t>
      </w:r>
    </w:p>
    <w:p w14:paraId="7E37E020" w14:textId="368AE646" w:rsidR="008A370F" w:rsidRPr="00631E01" w:rsidRDefault="008A370F" w:rsidP="00FB1BE3">
      <w:pPr>
        <w:pStyle w:val="ListParagraph"/>
        <w:numPr>
          <w:ilvl w:val="0"/>
          <w:numId w:val="2"/>
        </w:numPr>
        <w:spacing w:after="0"/>
        <w:rPr>
          <w:rFonts w:ascii="Arial" w:hAnsi="Arial" w:cs="Arial"/>
          <w:sz w:val="20"/>
          <w:szCs w:val="20"/>
        </w:rPr>
      </w:pPr>
      <w:r w:rsidRPr="00631E01">
        <w:rPr>
          <w:rFonts w:ascii="Arial" w:hAnsi="Arial" w:cs="Arial"/>
          <w:sz w:val="20"/>
          <w:szCs w:val="20"/>
        </w:rPr>
        <w:t xml:space="preserve">Funded Board-Designated Operating Reserve Policy </w:t>
      </w:r>
    </w:p>
    <w:p w14:paraId="0E7A3BF9" w14:textId="6C722359" w:rsidR="008A370F" w:rsidRPr="00631E01" w:rsidRDefault="008A370F" w:rsidP="00FB1BE3">
      <w:pPr>
        <w:pStyle w:val="ListParagraph"/>
        <w:numPr>
          <w:ilvl w:val="1"/>
          <w:numId w:val="2"/>
        </w:numPr>
        <w:spacing w:after="0"/>
        <w:rPr>
          <w:rFonts w:ascii="Arial" w:hAnsi="Arial" w:cs="Arial"/>
          <w:sz w:val="20"/>
          <w:szCs w:val="20"/>
        </w:rPr>
      </w:pPr>
      <w:r w:rsidRPr="00631E01">
        <w:rPr>
          <w:rFonts w:ascii="Arial" w:hAnsi="Arial" w:cs="Arial"/>
          <w:sz w:val="20"/>
          <w:szCs w:val="20"/>
        </w:rPr>
        <w:t xml:space="preserve">Philosophy The establishment and maintenance of a Funded Board-Designated Operating Reserve is a high priority. This will enable Pacific Northwest Swimming Association to support strategic business practices and to: </w:t>
      </w:r>
    </w:p>
    <w:p w14:paraId="025B7F73" w14:textId="77777777" w:rsidR="008A370F" w:rsidRPr="00631E01" w:rsidRDefault="008A370F" w:rsidP="008A370F">
      <w:pPr>
        <w:pStyle w:val="ListParagraph"/>
        <w:spacing w:after="0"/>
        <w:ind w:left="1440" w:firstLine="720"/>
        <w:rPr>
          <w:rFonts w:ascii="Arial" w:hAnsi="Arial" w:cs="Arial"/>
          <w:sz w:val="20"/>
          <w:szCs w:val="20"/>
        </w:rPr>
      </w:pPr>
      <w:r w:rsidRPr="00631E01">
        <w:rPr>
          <w:rFonts w:ascii="Arial" w:hAnsi="Arial" w:cs="Arial"/>
          <w:sz w:val="20"/>
          <w:szCs w:val="20"/>
        </w:rPr>
        <w:sym w:font="Symbol" w:char="F0B7"/>
      </w:r>
      <w:r w:rsidRPr="00631E01">
        <w:rPr>
          <w:rFonts w:ascii="Arial" w:hAnsi="Arial" w:cs="Arial"/>
          <w:sz w:val="20"/>
          <w:szCs w:val="20"/>
        </w:rPr>
        <w:t xml:space="preserve"> Manage cash flow interruptions, </w:t>
      </w:r>
    </w:p>
    <w:p w14:paraId="0B3516E7" w14:textId="77777777" w:rsidR="008A370F" w:rsidRPr="00631E01" w:rsidRDefault="008A370F" w:rsidP="008A370F">
      <w:pPr>
        <w:pStyle w:val="ListParagraph"/>
        <w:spacing w:after="0"/>
        <w:ind w:left="1440" w:firstLine="720"/>
        <w:rPr>
          <w:rFonts w:ascii="Arial" w:hAnsi="Arial" w:cs="Arial"/>
          <w:sz w:val="20"/>
          <w:szCs w:val="20"/>
        </w:rPr>
      </w:pPr>
      <w:r w:rsidRPr="00631E01">
        <w:rPr>
          <w:rFonts w:ascii="Arial" w:hAnsi="Arial" w:cs="Arial"/>
          <w:sz w:val="20"/>
          <w:szCs w:val="20"/>
        </w:rPr>
        <w:sym w:font="Symbol" w:char="F0B7"/>
      </w:r>
      <w:r w:rsidRPr="00631E01">
        <w:rPr>
          <w:rFonts w:ascii="Arial" w:hAnsi="Arial" w:cs="Arial"/>
          <w:sz w:val="20"/>
          <w:szCs w:val="20"/>
        </w:rPr>
        <w:t xml:space="preserve"> Minimize the need for working capital borrowing, </w:t>
      </w:r>
    </w:p>
    <w:p w14:paraId="0EBC5146" w14:textId="77777777" w:rsidR="008A370F" w:rsidRPr="00631E01" w:rsidRDefault="008A370F" w:rsidP="008A370F">
      <w:pPr>
        <w:pStyle w:val="ListParagraph"/>
        <w:spacing w:after="0"/>
        <w:ind w:left="1440" w:firstLine="720"/>
        <w:rPr>
          <w:rFonts w:ascii="Arial" w:hAnsi="Arial" w:cs="Arial"/>
          <w:sz w:val="20"/>
          <w:szCs w:val="20"/>
        </w:rPr>
      </w:pPr>
      <w:r w:rsidRPr="00631E01">
        <w:rPr>
          <w:rFonts w:ascii="Arial" w:hAnsi="Arial" w:cs="Arial"/>
          <w:sz w:val="20"/>
          <w:szCs w:val="20"/>
        </w:rPr>
        <w:sym w:font="Symbol" w:char="F0B7"/>
      </w:r>
      <w:r w:rsidRPr="00631E01">
        <w:rPr>
          <w:rFonts w:ascii="Arial" w:hAnsi="Arial" w:cs="Arial"/>
          <w:sz w:val="20"/>
          <w:szCs w:val="20"/>
        </w:rPr>
        <w:t xml:space="preserve"> Meet commitments, obligations or other contingencies, and </w:t>
      </w:r>
    </w:p>
    <w:p w14:paraId="69869B1F" w14:textId="77777777" w:rsidR="008A370F" w:rsidRPr="00631E01" w:rsidRDefault="008A370F" w:rsidP="008A370F">
      <w:pPr>
        <w:pStyle w:val="ListParagraph"/>
        <w:spacing w:after="0"/>
        <w:ind w:left="1440" w:firstLine="720"/>
        <w:rPr>
          <w:rFonts w:ascii="Arial" w:hAnsi="Arial" w:cs="Arial"/>
          <w:sz w:val="20"/>
          <w:szCs w:val="20"/>
        </w:rPr>
      </w:pPr>
      <w:r w:rsidRPr="00631E01">
        <w:rPr>
          <w:rFonts w:ascii="Arial" w:hAnsi="Arial" w:cs="Arial"/>
          <w:sz w:val="20"/>
          <w:szCs w:val="20"/>
        </w:rPr>
        <w:sym w:font="Symbol" w:char="F0B7"/>
      </w:r>
      <w:r w:rsidRPr="00631E01">
        <w:rPr>
          <w:rFonts w:ascii="Arial" w:hAnsi="Arial" w:cs="Arial"/>
          <w:sz w:val="20"/>
          <w:szCs w:val="20"/>
        </w:rPr>
        <w:t xml:space="preserve"> Generate investment income. </w:t>
      </w:r>
    </w:p>
    <w:p w14:paraId="6BF9E7C3" w14:textId="77777777" w:rsidR="008A370F" w:rsidRPr="00631E01" w:rsidRDefault="008A370F" w:rsidP="00FA663B">
      <w:pPr>
        <w:pStyle w:val="ListParagraph"/>
        <w:numPr>
          <w:ilvl w:val="1"/>
          <w:numId w:val="2"/>
        </w:numPr>
        <w:spacing w:after="0"/>
        <w:rPr>
          <w:rFonts w:ascii="Arial" w:hAnsi="Arial" w:cs="Arial"/>
          <w:sz w:val="20"/>
          <w:szCs w:val="20"/>
        </w:rPr>
      </w:pPr>
      <w:r w:rsidRPr="00631E01">
        <w:rPr>
          <w:rFonts w:ascii="Arial" w:hAnsi="Arial" w:cs="Arial"/>
          <w:sz w:val="20"/>
          <w:szCs w:val="20"/>
        </w:rPr>
        <w:t xml:space="preserve">Policy </w:t>
      </w:r>
    </w:p>
    <w:p w14:paraId="6D3D10C8" w14:textId="6C749A88" w:rsidR="008A370F" w:rsidRPr="00631E01" w:rsidRDefault="008A370F" w:rsidP="00177883">
      <w:pPr>
        <w:pStyle w:val="ListParagraph"/>
        <w:spacing w:after="0"/>
        <w:ind w:left="1440"/>
        <w:rPr>
          <w:rFonts w:ascii="Arial" w:hAnsi="Arial" w:cs="Arial"/>
          <w:sz w:val="20"/>
          <w:szCs w:val="20"/>
        </w:rPr>
      </w:pPr>
      <w:r w:rsidRPr="00631E01">
        <w:rPr>
          <w:rFonts w:ascii="Arial" w:hAnsi="Arial" w:cs="Arial"/>
          <w:sz w:val="20"/>
          <w:szCs w:val="20"/>
        </w:rPr>
        <w:t xml:space="preserve">The purpose of this policy is to establish and maintain a Funded Board-Designated Operating Reserve, unencumbered and uncommitted, at a level relative to the annual program funding and the costs of operating and maintaining the organization. The Operating Reserve is intended to serve a dynamic role and is available to be utilized as needed rather than being static, devoted only to generating investment income. </w:t>
      </w:r>
    </w:p>
    <w:p w14:paraId="5AB9CD0E" w14:textId="5AEDD7FA" w:rsidR="008A370F" w:rsidRPr="00FA663B" w:rsidRDefault="008A370F" w:rsidP="00FA663B">
      <w:pPr>
        <w:pStyle w:val="ListParagraph"/>
        <w:numPr>
          <w:ilvl w:val="1"/>
          <w:numId w:val="2"/>
        </w:numPr>
        <w:spacing w:after="0"/>
        <w:rPr>
          <w:szCs w:val="20"/>
        </w:rPr>
      </w:pPr>
      <w:r w:rsidRPr="00FA663B">
        <w:rPr>
          <w:szCs w:val="20"/>
        </w:rPr>
        <w:t xml:space="preserve">Definitions </w:t>
      </w:r>
    </w:p>
    <w:p w14:paraId="24FC6A6E" w14:textId="5608B5C4" w:rsidR="008A370F" w:rsidRPr="00631E01" w:rsidRDefault="00827ACD" w:rsidP="00177883">
      <w:pPr>
        <w:spacing w:after="0"/>
        <w:ind w:left="1440" w:firstLine="0"/>
        <w:rPr>
          <w:szCs w:val="20"/>
        </w:rPr>
      </w:pPr>
      <w:r>
        <w:rPr>
          <w:szCs w:val="20"/>
        </w:rPr>
        <w:t>1</w:t>
      </w:r>
      <w:r w:rsidR="008A370F" w:rsidRPr="00631E01">
        <w:rPr>
          <w:szCs w:val="20"/>
        </w:rPr>
        <w:t xml:space="preserve">. Board-Designated Operating Reserve – Amounts reported in the Unrestricted Net Assets section of the balance sheet and identified as Board-Designated Operating Reserve. </w:t>
      </w:r>
    </w:p>
    <w:p w14:paraId="028BB75C" w14:textId="0431710B" w:rsidR="008A370F" w:rsidRPr="00631E01" w:rsidRDefault="00827ACD" w:rsidP="00177883">
      <w:pPr>
        <w:spacing w:after="0"/>
        <w:ind w:left="1440" w:firstLine="0"/>
        <w:rPr>
          <w:szCs w:val="20"/>
        </w:rPr>
      </w:pPr>
      <w:r>
        <w:rPr>
          <w:szCs w:val="20"/>
        </w:rPr>
        <w:t>2</w:t>
      </w:r>
      <w:r w:rsidR="008A370F" w:rsidRPr="00631E01">
        <w:rPr>
          <w:szCs w:val="20"/>
        </w:rPr>
        <w:t xml:space="preserve">. Cost of Operating and Maintaining the Organization – </w:t>
      </w:r>
      <w:r w:rsidR="007A4CFE">
        <w:rPr>
          <w:szCs w:val="20"/>
        </w:rPr>
        <w:t xml:space="preserve">Pacific Northwest </w:t>
      </w:r>
      <w:r w:rsidR="008A370F" w:rsidRPr="00631E01">
        <w:rPr>
          <w:szCs w:val="20"/>
        </w:rPr>
        <w:t xml:space="preserve">Swimming’s net expenses for Program Services and Administration as reflected by the approved annual budget. </w:t>
      </w:r>
    </w:p>
    <w:p w14:paraId="4505FD25" w14:textId="77CA5A08" w:rsidR="008A370F" w:rsidRPr="00631E01" w:rsidRDefault="00827ACD" w:rsidP="00177883">
      <w:pPr>
        <w:spacing w:after="0"/>
        <w:ind w:left="1440" w:firstLine="0"/>
        <w:rPr>
          <w:szCs w:val="20"/>
        </w:rPr>
      </w:pPr>
      <w:r>
        <w:rPr>
          <w:szCs w:val="20"/>
        </w:rPr>
        <w:t>3.</w:t>
      </w:r>
      <w:r w:rsidR="008A370F" w:rsidRPr="00631E01">
        <w:rPr>
          <w:szCs w:val="20"/>
        </w:rPr>
        <w:t xml:space="preserve"> Funded Board-Designated Operating Reserve – A fund consisting of liquid assets and investments. Liquid assets are those that may be converted to cash quickly and easily. It is not required that the Board-Designated Operating Reserve be physically segregated in a separate bank or investment account although </w:t>
      </w:r>
      <w:r w:rsidR="007A4CFE">
        <w:rPr>
          <w:szCs w:val="20"/>
        </w:rPr>
        <w:t>Pacific Northwest</w:t>
      </w:r>
      <w:r w:rsidR="007A4CFE" w:rsidRPr="00631E01">
        <w:rPr>
          <w:szCs w:val="20"/>
        </w:rPr>
        <w:t xml:space="preserve"> </w:t>
      </w:r>
      <w:r w:rsidR="008A370F" w:rsidRPr="00631E01">
        <w:rPr>
          <w:szCs w:val="20"/>
        </w:rPr>
        <w:t xml:space="preserve">Swimming may decide to do so. </w:t>
      </w:r>
    </w:p>
    <w:p w14:paraId="11CD3B2E" w14:textId="323F3BE7" w:rsidR="008A370F" w:rsidRPr="00631E01" w:rsidRDefault="009A1CA6" w:rsidP="00631E01">
      <w:pPr>
        <w:spacing w:after="0"/>
        <w:ind w:left="0" w:firstLine="720"/>
        <w:rPr>
          <w:szCs w:val="20"/>
        </w:rPr>
      </w:pPr>
      <w:r>
        <w:rPr>
          <w:szCs w:val="20"/>
        </w:rPr>
        <w:t>d</w:t>
      </w:r>
      <w:r w:rsidR="008A370F" w:rsidRPr="00631E01">
        <w:rPr>
          <w:szCs w:val="20"/>
        </w:rPr>
        <w:t xml:space="preserve">. </w:t>
      </w:r>
      <w:r w:rsidR="008A370F" w:rsidRPr="00631E01">
        <w:rPr>
          <w:szCs w:val="20"/>
        </w:rPr>
        <w:tab/>
        <w:t xml:space="preserve">Strategies and Procedures </w:t>
      </w:r>
    </w:p>
    <w:p w14:paraId="096409D0" w14:textId="268F0602" w:rsidR="008A370F" w:rsidRPr="00631E01" w:rsidRDefault="00827ACD" w:rsidP="00A87D89">
      <w:pPr>
        <w:spacing w:after="0"/>
        <w:ind w:left="2160" w:hanging="720"/>
        <w:rPr>
          <w:szCs w:val="20"/>
        </w:rPr>
      </w:pPr>
      <w:r>
        <w:rPr>
          <w:szCs w:val="20"/>
        </w:rPr>
        <w:t>1</w:t>
      </w:r>
      <w:r w:rsidR="008A370F" w:rsidRPr="00631E01">
        <w:rPr>
          <w:szCs w:val="20"/>
        </w:rPr>
        <w:t xml:space="preserve">. </w:t>
      </w:r>
      <w:r w:rsidR="00A87D89">
        <w:rPr>
          <w:szCs w:val="20"/>
        </w:rPr>
        <w:tab/>
      </w:r>
      <w:r w:rsidR="008A370F" w:rsidRPr="00631E01">
        <w:rPr>
          <w:szCs w:val="20"/>
        </w:rPr>
        <w:t xml:space="preserve">Board-Designated Operating Reserve shall be accounted for separate and apart from Undesignated Operating Funds. </w:t>
      </w:r>
    </w:p>
    <w:p w14:paraId="5DD92995" w14:textId="620C6177" w:rsidR="008A370F" w:rsidRPr="00631E01" w:rsidRDefault="00827ACD" w:rsidP="00A87D89">
      <w:pPr>
        <w:spacing w:after="0"/>
        <w:ind w:left="2160" w:hanging="720"/>
        <w:rPr>
          <w:szCs w:val="20"/>
        </w:rPr>
      </w:pPr>
      <w:r>
        <w:rPr>
          <w:szCs w:val="20"/>
        </w:rPr>
        <w:t>2</w:t>
      </w:r>
      <w:r w:rsidR="008A370F" w:rsidRPr="00631E01">
        <w:rPr>
          <w:szCs w:val="20"/>
        </w:rPr>
        <w:t xml:space="preserve">. </w:t>
      </w:r>
      <w:r w:rsidR="00A87D89">
        <w:rPr>
          <w:szCs w:val="20"/>
        </w:rPr>
        <w:tab/>
      </w:r>
      <w:r w:rsidR="008A370F" w:rsidRPr="00631E01">
        <w:rPr>
          <w:szCs w:val="20"/>
        </w:rPr>
        <w:t xml:space="preserve">The Finance Committee will have the responsibility for developing and recommending policies and guidelines for the investment of the Operating Reserve assets and the Board of Directors will approve such policies and guidelines. </w:t>
      </w:r>
    </w:p>
    <w:p w14:paraId="6F1D1BBB" w14:textId="1004015A" w:rsidR="008A370F" w:rsidRPr="00631E01" w:rsidRDefault="00827ACD" w:rsidP="00A87D89">
      <w:pPr>
        <w:spacing w:after="0"/>
        <w:ind w:left="2160" w:hanging="720"/>
        <w:rPr>
          <w:szCs w:val="20"/>
        </w:rPr>
      </w:pPr>
      <w:r>
        <w:rPr>
          <w:szCs w:val="20"/>
        </w:rPr>
        <w:t>3</w:t>
      </w:r>
      <w:r w:rsidR="008A370F" w:rsidRPr="00631E01">
        <w:rPr>
          <w:szCs w:val="20"/>
        </w:rPr>
        <w:t xml:space="preserve">. </w:t>
      </w:r>
      <w:r w:rsidR="00A87D89">
        <w:rPr>
          <w:szCs w:val="20"/>
        </w:rPr>
        <w:tab/>
      </w:r>
      <w:r w:rsidR="008A370F" w:rsidRPr="00631E01">
        <w:rPr>
          <w:szCs w:val="20"/>
        </w:rPr>
        <w:t xml:space="preserve">The Operating Reserve goal will be to achieve and maintain between 75% and 125% of the Program Funding and Operating Costs as defined in Section 3. </w:t>
      </w:r>
    </w:p>
    <w:p w14:paraId="4ABDD6A2" w14:textId="04B49B7C" w:rsidR="008A370F" w:rsidRPr="00631E01" w:rsidRDefault="00A87D89" w:rsidP="00A87D89">
      <w:pPr>
        <w:spacing w:after="0"/>
        <w:ind w:left="2160" w:hanging="720"/>
        <w:rPr>
          <w:szCs w:val="20"/>
        </w:rPr>
      </w:pPr>
      <w:r>
        <w:rPr>
          <w:szCs w:val="20"/>
        </w:rPr>
        <w:t>4</w:t>
      </w:r>
      <w:r w:rsidR="008A370F" w:rsidRPr="00631E01">
        <w:rPr>
          <w:szCs w:val="20"/>
        </w:rPr>
        <w:t xml:space="preserve">. </w:t>
      </w:r>
      <w:r>
        <w:rPr>
          <w:szCs w:val="20"/>
        </w:rPr>
        <w:tab/>
      </w:r>
      <w:r w:rsidR="008A370F" w:rsidRPr="00631E01">
        <w:rPr>
          <w:szCs w:val="20"/>
        </w:rPr>
        <w:t xml:space="preserve">After the budget has been approved, but no later than the beginning of each fiscal year, the Finance Vice-Chair will review the adequacy of the Board-Designated Operating Reserve and if necessary, will recommend changes to the Board of Directors. </w:t>
      </w:r>
    </w:p>
    <w:p w14:paraId="6FDFEEDF" w14:textId="2EFE69DF" w:rsidR="008A370F" w:rsidRPr="00631E01" w:rsidRDefault="009A1CA6" w:rsidP="00631E01">
      <w:pPr>
        <w:spacing w:after="0"/>
        <w:ind w:left="1440" w:hanging="720"/>
        <w:rPr>
          <w:szCs w:val="20"/>
        </w:rPr>
      </w:pPr>
      <w:r>
        <w:rPr>
          <w:szCs w:val="20"/>
        </w:rPr>
        <w:t>e</w:t>
      </w:r>
      <w:r w:rsidR="008A370F" w:rsidRPr="00631E01">
        <w:rPr>
          <w:szCs w:val="20"/>
        </w:rPr>
        <w:t xml:space="preserve">. </w:t>
      </w:r>
      <w:r w:rsidR="008A370F" w:rsidRPr="00631E01">
        <w:rPr>
          <w:szCs w:val="20"/>
        </w:rPr>
        <w:tab/>
        <w:t xml:space="preserve">Sources Assets for the Board-Designated Operating Reserve accounts will come from the retained earnings of the organization. </w:t>
      </w:r>
    </w:p>
    <w:p w14:paraId="7A5A0B17" w14:textId="55AB9986" w:rsidR="00CF1715" w:rsidRDefault="00827ACD" w:rsidP="00631E01">
      <w:pPr>
        <w:spacing w:after="0"/>
        <w:ind w:left="1440" w:hanging="720"/>
        <w:rPr>
          <w:szCs w:val="20"/>
        </w:rPr>
      </w:pPr>
      <w:r>
        <w:rPr>
          <w:szCs w:val="20"/>
        </w:rPr>
        <w:t>f</w:t>
      </w:r>
      <w:r w:rsidR="008A370F" w:rsidRPr="00631E01">
        <w:rPr>
          <w:szCs w:val="20"/>
        </w:rPr>
        <w:t xml:space="preserve">. </w:t>
      </w:r>
      <w:r w:rsidR="008A370F" w:rsidRPr="00631E01">
        <w:rPr>
          <w:szCs w:val="20"/>
        </w:rPr>
        <w:tab/>
        <w:t xml:space="preserve">Uses </w:t>
      </w:r>
      <w:r w:rsidR="00CF1715">
        <w:rPr>
          <w:szCs w:val="20"/>
        </w:rPr>
        <w:tab/>
      </w:r>
      <w:r w:rsidR="00601453">
        <w:rPr>
          <w:szCs w:val="20"/>
        </w:rPr>
        <w:t>1</w:t>
      </w:r>
      <w:r w:rsidR="008A370F" w:rsidRPr="00631E01">
        <w:rPr>
          <w:szCs w:val="20"/>
        </w:rPr>
        <w:t xml:space="preserve">. Internal line of credit for use to financially operate the organization, </w:t>
      </w:r>
    </w:p>
    <w:p w14:paraId="2265FADA" w14:textId="76713C16" w:rsidR="00CF1715" w:rsidRDefault="00601453" w:rsidP="00CF1715">
      <w:pPr>
        <w:spacing w:after="0"/>
        <w:ind w:left="1440" w:firstLine="720"/>
        <w:rPr>
          <w:szCs w:val="20"/>
        </w:rPr>
      </w:pPr>
      <w:r>
        <w:rPr>
          <w:szCs w:val="20"/>
        </w:rPr>
        <w:t>2</w:t>
      </w:r>
      <w:r w:rsidR="008A370F" w:rsidRPr="00631E01">
        <w:rPr>
          <w:szCs w:val="20"/>
        </w:rPr>
        <w:t xml:space="preserve">. Funds to meet unfunded and unexpected needs of the organization, and </w:t>
      </w:r>
    </w:p>
    <w:p w14:paraId="7CDBE209" w14:textId="3570DF73" w:rsidR="008A370F" w:rsidRPr="00631E01" w:rsidRDefault="00601453" w:rsidP="00CF1715">
      <w:pPr>
        <w:spacing w:after="0"/>
        <w:ind w:left="2160" w:firstLine="0"/>
        <w:rPr>
          <w:szCs w:val="20"/>
        </w:rPr>
      </w:pPr>
      <w:r>
        <w:rPr>
          <w:szCs w:val="20"/>
        </w:rPr>
        <w:t>3</w:t>
      </w:r>
      <w:r w:rsidR="008A370F" w:rsidRPr="00631E01">
        <w:rPr>
          <w:szCs w:val="20"/>
        </w:rPr>
        <w:t xml:space="preserve">. Funds to make up a deficiency in budgeted revenue, either in results or collection experience. </w:t>
      </w:r>
    </w:p>
    <w:p w14:paraId="1A7B6B62" w14:textId="58B9E76E" w:rsidR="008A370F" w:rsidRPr="00631E01" w:rsidRDefault="00827ACD" w:rsidP="00631E01">
      <w:pPr>
        <w:spacing w:after="0"/>
        <w:ind w:left="1440" w:hanging="720"/>
        <w:rPr>
          <w:szCs w:val="20"/>
        </w:rPr>
      </w:pPr>
      <w:r>
        <w:rPr>
          <w:szCs w:val="20"/>
        </w:rPr>
        <w:t>g</w:t>
      </w:r>
      <w:r w:rsidR="008A370F" w:rsidRPr="00631E01">
        <w:rPr>
          <w:szCs w:val="20"/>
        </w:rPr>
        <w:t xml:space="preserve">. </w:t>
      </w:r>
      <w:r w:rsidR="008A370F" w:rsidRPr="00631E01">
        <w:rPr>
          <w:szCs w:val="20"/>
        </w:rPr>
        <w:tab/>
        <w:t xml:space="preserve">Governance Depletion of the Operating Reserve will be evidenced by a negative balance in the Undesignated Operating Funds. The procedure for approving use of the Operating Reserve Funds will be as follows: </w:t>
      </w:r>
    </w:p>
    <w:p w14:paraId="0BD348AD" w14:textId="4BEDB25D" w:rsidR="008A370F" w:rsidRPr="00631E01" w:rsidRDefault="00827ACD" w:rsidP="008A370F">
      <w:pPr>
        <w:spacing w:after="0"/>
        <w:ind w:left="720" w:firstLine="720"/>
        <w:rPr>
          <w:szCs w:val="20"/>
        </w:rPr>
      </w:pPr>
      <w:r>
        <w:rPr>
          <w:szCs w:val="20"/>
        </w:rPr>
        <w:lastRenderedPageBreak/>
        <w:t>1</w:t>
      </w:r>
      <w:r w:rsidR="008A370F" w:rsidRPr="00631E01">
        <w:rPr>
          <w:szCs w:val="20"/>
        </w:rPr>
        <w:t xml:space="preserve">. </w:t>
      </w:r>
      <w:r w:rsidR="008A370F" w:rsidRPr="00631E01">
        <w:rPr>
          <w:szCs w:val="20"/>
        </w:rPr>
        <w:tab/>
        <w:t xml:space="preserve">As projected in the budget as approved by the House of Delegates, </w:t>
      </w:r>
    </w:p>
    <w:p w14:paraId="4397BF8F" w14:textId="5761600B" w:rsidR="008A370F" w:rsidRPr="00631E01" w:rsidRDefault="00827ACD" w:rsidP="008A370F">
      <w:pPr>
        <w:spacing w:after="0"/>
        <w:ind w:left="2160" w:hanging="720"/>
        <w:rPr>
          <w:szCs w:val="20"/>
        </w:rPr>
      </w:pPr>
      <w:r>
        <w:rPr>
          <w:szCs w:val="20"/>
        </w:rPr>
        <w:t>2</w:t>
      </w:r>
      <w:r w:rsidR="008A370F" w:rsidRPr="00631E01">
        <w:rPr>
          <w:szCs w:val="20"/>
        </w:rPr>
        <w:t xml:space="preserve">. </w:t>
      </w:r>
      <w:r w:rsidR="008A370F" w:rsidRPr="00631E01">
        <w:rPr>
          <w:szCs w:val="20"/>
        </w:rPr>
        <w:tab/>
        <w:t xml:space="preserve">By approval of the Board of Directors to fund unusual expenditures out of reserves, and </w:t>
      </w:r>
    </w:p>
    <w:p w14:paraId="2F9C98F5" w14:textId="3800CAFF" w:rsidR="008A370F" w:rsidRPr="00631E01" w:rsidRDefault="00827ACD" w:rsidP="008A370F">
      <w:pPr>
        <w:tabs>
          <w:tab w:val="right" w:pos="8640"/>
        </w:tabs>
        <w:spacing w:after="0"/>
        <w:ind w:left="2160" w:hanging="720"/>
        <w:rPr>
          <w:szCs w:val="20"/>
        </w:rPr>
      </w:pPr>
      <w:r>
        <w:rPr>
          <w:szCs w:val="20"/>
        </w:rPr>
        <w:t>3</w:t>
      </w:r>
      <w:r w:rsidR="008A370F" w:rsidRPr="00631E01">
        <w:rPr>
          <w:szCs w:val="20"/>
        </w:rPr>
        <w:t xml:space="preserve">. </w:t>
      </w:r>
      <w:r w:rsidR="008A370F" w:rsidRPr="00631E01">
        <w:rPr>
          <w:szCs w:val="20"/>
        </w:rPr>
        <w:tab/>
        <w:t xml:space="preserve">By extraordinary expenses or loss of revenue and (or) investment losses. In this case, the following procedures will be followed: </w:t>
      </w:r>
    </w:p>
    <w:p w14:paraId="25A4B7D6" w14:textId="0E50D4C4" w:rsidR="008A370F" w:rsidRPr="00631E01" w:rsidRDefault="008A370F" w:rsidP="008A370F">
      <w:pPr>
        <w:spacing w:after="0"/>
        <w:ind w:left="1440" w:firstLine="720"/>
        <w:rPr>
          <w:szCs w:val="20"/>
        </w:rPr>
      </w:pPr>
      <w:r w:rsidRPr="00631E01">
        <w:rPr>
          <w:szCs w:val="20"/>
        </w:rPr>
        <w:t xml:space="preserve">a. Executive Director will inform the Finance Committee members, and  </w:t>
      </w:r>
    </w:p>
    <w:p w14:paraId="3B2D5580" w14:textId="77777777" w:rsidR="008A370F" w:rsidRPr="00631E01" w:rsidRDefault="008A370F" w:rsidP="008A370F">
      <w:pPr>
        <w:spacing w:after="0"/>
        <w:ind w:left="2430" w:hanging="270"/>
        <w:rPr>
          <w:szCs w:val="20"/>
        </w:rPr>
      </w:pPr>
      <w:r w:rsidRPr="00631E01">
        <w:rPr>
          <w:szCs w:val="20"/>
        </w:rPr>
        <w:t xml:space="preserve">b. Finance Vice-Chair will inform the Board of Directors at its next scheduled meeting. </w:t>
      </w:r>
    </w:p>
    <w:p w14:paraId="5535D149" w14:textId="77777777" w:rsidR="008A370F" w:rsidRPr="00631E01" w:rsidRDefault="008A370F" w:rsidP="008A370F">
      <w:pPr>
        <w:spacing w:after="0"/>
        <w:ind w:left="1440" w:firstLine="0"/>
        <w:rPr>
          <w:szCs w:val="20"/>
        </w:rPr>
      </w:pPr>
      <w:r w:rsidRPr="00631E01">
        <w:rPr>
          <w:szCs w:val="20"/>
        </w:rPr>
        <w:t xml:space="preserve">If the Operating Reserve is and has been less than 75% of the targeted reserve level for two consecutive years, the Board of Directors, in the absence of any extraordinary circumstances, will adopt an operational budget that includes a projected surplus sufficient to rebuild the Operating Reserve Fund to its targeted reserve level over the following two years. </w:t>
      </w:r>
    </w:p>
    <w:p w14:paraId="0CAAC9CB" w14:textId="159BDFFD" w:rsidR="008A370F" w:rsidRPr="00631E01" w:rsidRDefault="00827ACD" w:rsidP="00631E01">
      <w:pPr>
        <w:spacing w:after="0"/>
        <w:ind w:left="1440" w:hanging="720"/>
        <w:rPr>
          <w:szCs w:val="20"/>
        </w:rPr>
      </w:pPr>
      <w:r>
        <w:rPr>
          <w:szCs w:val="20"/>
        </w:rPr>
        <w:t>h</w:t>
      </w:r>
      <w:r w:rsidR="008A370F" w:rsidRPr="00631E01">
        <w:rPr>
          <w:szCs w:val="20"/>
        </w:rPr>
        <w:t xml:space="preserve">. </w:t>
      </w:r>
      <w:r w:rsidR="008A370F" w:rsidRPr="00631E01">
        <w:rPr>
          <w:szCs w:val="20"/>
        </w:rPr>
        <w:tab/>
        <w:t xml:space="preserve">Maintenance The status of the funded Board-Designated Operating Reserve will be calculated at the end of each fiscal year, based upon audited financial results, and reviewed by the Board of Directors. The adequacy of the Board-Designated Operating Reserve will be determined as follows: </w:t>
      </w:r>
    </w:p>
    <w:p w14:paraId="0F0C3648" w14:textId="77777777" w:rsidR="008A370F" w:rsidRPr="00631E01" w:rsidRDefault="008A370F" w:rsidP="008A370F">
      <w:pPr>
        <w:spacing w:after="0"/>
        <w:ind w:left="2160" w:firstLine="720"/>
        <w:rPr>
          <w:szCs w:val="20"/>
        </w:rPr>
      </w:pPr>
      <w:r w:rsidRPr="00631E01">
        <w:rPr>
          <w:szCs w:val="20"/>
        </w:rPr>
        <w:t xml:space="preserve">Example </w:t>
      </w:r>
    </w:p>
    <w:p w14:paraId="628B3136" w14:textId="77777777" w:rsidR="008A370F" w:rsidRPr="00631E01" w:rsidRDefault="008A370F" w:rsidP="008A370F">
      <w:pPr>
        <w:tabs>
          <w:tab w:val="right" w:pos="8640"/>
        </w:tabs>
        <w:spacing w:after="0"/>
        <w:ind w:left="2160" w:firstLine="720"/>
        <w:rPr>
          <w:szCs w:val="20"/>
        </w:rPr>
      </w:pPr>
      <w:r w:rsidRPr="00631E01">
        <w:rPr>
          <w:szCs w:val="20"/>
        </w:rPr>
        <w:t xml:space="preserve">Total Unrestricted Net Assets </w:t>
      </w:r>
      <w:r w:rsidRPr="00631E01">
        <w:rPr>
          <w:szCs w:val="20"/>
        </w:rPr>
        <w:tab/>
        <w:t xml:space="preserve">$850,000 </w:t>
      </w:r>
    </w:p>
    <w:p w14:paraId="10EBC248" w14:textId="77777777" w:rsidR="008A370F" w:rsidRPr="00631E01" w:rsidRDefault="008A370F" w:rsidP="008A370F">
      <w:pPr>
        <w:tabs>
          <w:tab w:val="right" w:pos="8640"/>
        </w:tabs>
        <w:spacing w:after="0"/>
        <w:ind w:left="2160" w:firstLine="720"/>
        <w:rPr>
          <w:szCs w:val="20"/>
        </w:rPr>
      </w:pPr>
      <w:r w:rsidRPr="00631E01">
        <w:rPr>
          <w:szCs w:val="20"/>
        </w:rPr>
        <w:t xml:space="preserve">Less: Fixed Assets, net </w:t>
      </w:r>
      <w:r w:rsidRPr="00631E01">
        <w:rPr>
          <w:szCs w:val="20"/>
        </w:rPr>
        <w:tab/>
      </w:r>
      <w:r w:rsidRPr="00631E01">
        <w:rPr>
          <w:szCs w:val="20"/>
          <w:u w:val="single"/>
        </w:rPr>
        <w:t>(20,000)</w:t>
      </w:r>
      <w:r w:rsidRPr="00631E01">
        <w:rPr>
          <w:szCs w:val="20"/>
        </w:rPr>
        <w:t xml:space="preserve"> </w:t>
      </w:r>
    </w:p>
    <w:p w14:paraId="3F88F995" w14:textId="77777777" w:rsidR="008A370F" w:rsidRPr="00631E01" w:rsidRDefault="008A370F" w:rsidP="008A370F">
      <w:pPr>
        <w:tabs>
          <w:tab w:val="right" w:pos="8640"/>
        </w:tabs>
        <w:spacing w:after="0"/>
        <w:ind w:left="2160" w:firstLine="720"/>
        <w:rPr>
          <w:szCs w:val="20"/>
        </w:rPr>
      </w:pPr>
      <w:r w:rsidRPr="00631E01">
        <w:rPr>
          <w:szCs w:val="20"/>
        </w:rPr>
        <w:t xml:space="preserve">Available Unrestricted Assets </w:t>
      </w:r>
      <w:r w:rsidRPr="00631E01">
        <w:rPr>
          <w:szCs w:val="20"/>
        </w:rPr>
        <w:tab/>
        <w:t xml:space="preserve">830,000 </w:t>
      </w:r>
    </w:p>
    <w:p w14:paraId="04DB902A" w14:textId="77777777" w:rsidR="008A370F" w:rsidRPr="00631E01" w:rsidRDefault="008A370F" w:rsidP="008A370F">
      <w:pPr>
        <w:tabs>
          <w:tab w:val="right" w:pos="8640"/>
        </w:tabs>
        <w:spacing w:after="0"/>
        <w:ind w:left="2160" w:firstLine="720"/>
        <w:rPr>
          <w:szCs w:val="20"/>
        </w:rPr>
      </w:pPr>
      <w:r w:rsidRPr="00631E01">
        <w:rPr>
          <w:szCs w:val="20"/>
        </w:rPr>
        <w:t xml:space="preserve">Less: Board-Designated Funds for Specific Purpose </w:t>
      </w:r>
      <w:r w:rsidRPr="00631E01">
        <w:rPr>
          <w:szCs w:val="20"/>
        </w:rPr>
        <w:tab/>
        <w:t xml:space="preserve">0 </w:t>
      </w:r>
    </w:p>
    <w:p w14:paraId="76365639" w14:textId="77777777" w:rsidR="008A370F" w:rsidRPr="00631E01" w:rsidRDefault="008A370F" w:rsidP="008A370F">
      <w:pPr>
        <w:tabs>
          <w:tab w:val="right" w:pos="8640"/>
        </w:tabs>
        <w:spacing w:after="0"/>
        <w:ind w:left="2160" w:firstLine="720"/>
        <w:rPr>
          <w:szCs w:val="20"/>
        </w:rPr>
      </w:pPr>
      <w:r w:rsidRPr="00631E01">
        <w:rPr>
          <w:szCs w:val="20"/>
        </w:rPr>
        <w:t xml:space="preserve">Less Board-Designated Operating Reserve </w:t>
      </w:r>
      <w:r w:rsidRPr="00631E01">
        <w:rPr>
          <w:szCs w:val="20"/>
        </w:rPr>
        <w:tab/>
      </w:r>
      <w:r w:rsidRPr="00631E01">
        <w:rPr>
          <w:szCs w:val="20"/>
          <w:u w:val="single"/>
        </w:rPr>
        <w:t>(350,000)</w:t>
      </w:r>
      <w:r w:rsidRPr="00631E01">
        <w:rPr>
          <w:szCs w:val="20"/>
        </w:rPr>
        <w:t xml:space="preserve"> </w:t>
      </w:r>
    </w:p>
    <w:p w14:paraId="1D96C70A" w14:textId="77777777" w:rsidR="008A370F" w:rsidRPr="00631E01" w:rsidRDefault="008A370F" w:rsidP="008A370F">
      <w:pPr>
        <w:tabs>
          <w:tab w:val="right" w:pos="8640"/>
        </w:tabs>
        <w:spacing w:after="0"/>
        <w:ind w:left="2160" w:firstLine="720"/>
        <w:rPr>
          <w:szCs w:val="20"/>
        </w:rPr>
      </w:pPr>
      <w:r w:rsidRPr="00631E01">
        <w:rPr>
          <w:szCs w:val="20"/>
        </w:rPr>
        <w:t xml:space="preserve">Undesignated Operating Funds </w:t>
      </w:r>
      <w:r w:rsidRPr="00631E01">
        <w:rPr>
          <w:szCs w:val="20"/>
        </w:rPr>
        <w:tab/>
        <w:t xml:space="preserve">$480,000 </w:t>
      </w:r>
    </w:p>
    <w:p w14:paraId="3C5E87B3" w14:textId="6BA3C9B4" w:rsidR="008A370F" w:rsidRPr="00631E01" w:rsidRDefault="00827ACD" w:rsidP="008A370F">
      <w:pPr>
        <w:tabs>
          <w:tab w:val="right" w:pos="8640"/>
        </w:tabs>
        <w:spacing w:after="0"/>
        <w:ind w:left="1080" w:hanging="360"/>
        <w:rPr>
          <w:szCs w:val="20"/>
        </w:rPr>
      </w:pPr>
      <w:proofErr w:type="spellStart"/>
      <w:r>
        <w:rPr>
          <w:szCs w:val="20"/>
        </w:rPr>
        <w:t>i</w:t>
      </w:r>
      <w:proofErr w:type="spellEnd"/>
      <w:r w:rsidR="008A370F" w:rsidRPr="00631E01">
        <w:rPr>
          <w:szCs w:val="20"/>
        </w:rPr>
        <w:t xml:space="preserve">. </w:t>
      </w:r>
      <w:r w:rsidR="008A370F" w:rsidRPr="00631E01">
        <w:rPr>
          <w:szCs w:val="20"/>
        </w:rPr>
        <w:tab/>
        <w:t>Policy Review This policy will be reviewed every four years by the Finance Vice-Chair or sooner if conditions warrant. Any changes thereto will be approved by the Board of Directors</w:t>
      </w:r>
      <w:r w:rsidR="006F5B29">
        <w:rPr>
          <w:szCs w:val="20"/>
        </w:rPr>
        <w:t>.</w:t>
      </w:r>
    </w:p>
    <w:p w14:paraId="521CCDF9" w14:textId="1188B94B" w:rsidR="00206A8B" w:rsidRPr="00631E01" w:rsidRDefault="00206A8B">
      <w:pPr>
        <w:spacing w:after="0" w:line="259" w:lineRule="auto"/>
        <w:ind w:left="0" w:firstLine="0"/>
        <w:rPr>
          <w:szCs w:val="20"/>
        </w:rPr>
      </w:pPr>
    </w:p>
    <w:sectPr w:rsidR="00206A8B" w:rsidRPr="00631E01" w:rsidSect="00BA126A">
      <w:headerReference w:type="even" r:id="rId7"/>
      <w:headerReference w:type="default" r:id="rId8"/>
      <w:footerReference w:type="even" r:id="rId9"/>
      <w:footerReference w:type="default" r:id="rId10"/>
      <w:headerReference w:type="first" r:id="rId11"/>
      <w:footerReference w:type="first" r:id="rId12"/>
      <w:pgSz w:w="12240" w:h="15840"/>
      <w:pgMar w:top="360" w:right="1082" w:bottom="360" w:left="144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4F0C" w14:textId="77777777" w:rsidR="00607EF5" w:rsidRDefault="00607EF5" w:rsidP="00BA126A">
      <w:pPr>
        <w:spacing w:after="0" w:line="240" w:lineRule="auto"/>
      </w:pPr>
      <w:r>
        <w:separator/>
      </w:r>
    </w:p>
  </w:endnote>
  <w:endnote w:type="continuationSeparator" w:id="0">
    <w:p w14:paraId="63B12C9F" w14:textId="77777777" w:rsidR="00607EF5" w:rsidRDefault="00607EF5" w:rsidP="00BA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44EF" w14:textId="77777777" w:rsidR="00923B8A" w:rsidRDefault="00923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628" w14:textId="77777777" w:rsidR="00BA126A" w:rsidRDefault="00BA126A" w:rsidP="00BA126A">
    <w:pPr>
      <w:spacing w:after="0" w:line="259" w:lineRule="auto"/>
      <w:ind w:left="0" w:firstLine="0"/>
    </w:pPr>
  </w:p>
  <w:p w14:paraId="226176E6" w14:textId="0063B8B1" w:rsidR="00BA126A" w:rsidRDefault="00BA126A" w:rsidP="00BA126A">
    <w:pPr>
      <w:spacing w:after="0" w:line="259" w:lineRule="auto"/>
      <w:ind w:left="0" w:right="358" w:firstLine="0"/>
      <w:jc w:val="center"/>
      <w:rPr>
        <w:rFonts w:ascii="Times New Roman" w:eastAsia="Times New Roman" w:hAnsi="Times New Roman" w:cs="Times New Roman"/>
        <w:sz w:val="24"/>
      </w:rPr>
    </w:pPr>
    <w:r>
      <w:rPr>
        <w:sz w:val="16"/>
      </w:rPr>
      <w:t xml:space="preserve">Pacific Northwest Swimming Administrative Policy   </w:t>
    </w:r>
    <w:r w:rsidR="00C918F7">
      <w:rPr>
        <w:sz w:val="16"/>
      </w:rPr>
      <w:t>21</w:t>
    </w:r>
    <w:r>
      <w:rPr>
        <w:sz w:val="16"/>
      </w:rPr>
      <w:t>-0</w:t>
    </w:r>
    <w:r w:rsidR="00A50383">
      <w:rPr>
        <w:sz w:val="16"/>
      </w:rPr>
      <w:t>4</w:t>
    </w:r>
    <w:r>
      <w:rPr>
        <w:rFonts w:ascii="Times New Roman" w:eastAsia="Times New Roman" w:hAnsi="Times New Roman" w:cs="Times New Roman"/>
        <w:sz w:val="24"/>
      </w:rPr>
      <w:t xml:space="preserve"> </w:t>
    </w:r>
  </w:p>
  <w:p w14:paraId="47BBD63C" w14:textId="77777777" w:rsidR="00BA126A" w:rsidRDefault="00BA1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D95" w14:textId="77777777" w:rsidR="00923B8A" w:rsidRDefault="00923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39BE" w14:textId="77777777" w:rsidR="00607EF5" w:rsidRDefault="00607EF5" w:rsidP="00BA126A">
      <w:pPr>
        <w:spacing w:after="0" w:line="240" w:lineRule="auto"/>
      </w:pPr>
      <w:r>
        <w:separator/>
      </w:r>
    </w:p>
  </w:footnote>
  <w:footnote w:type="continuationSeparator" w:id="0">
    <w:p w14:paraId="7221F85E" w14:textId="77777777" w:rsidR="00607EF5" w:rsidRDefault="00607EF5" w:rsidP="00BA1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072B" w14:textId="77777777" w:rsidR="00923B8A" w:rsidRDefault="00923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04972"/>
      <w:docPartObj>
        <w:docPartGallery w:val="Watermarks"/>
        <w:docPartUnique/>
      </w:docPartObj>
    </w:sdtPr>
    <w:sdtEndPr/>
    <w:sdtContent>
      <w:p w14:paraId="3C6A4D06" w14:textId="1F90DEC6" w:rsidR="00923B8A" w:rsidRDefault="000F14B6">
        <w:pPr>
          <w:pStyle w:val="Header"/>
        </w:pPr>
        <w:r>
          <w:rPr>
            <w:noProof/>
          </w:rPr>
          <w:pict w14:anchorId="3CBE2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8321" w14:textId="77777777" w:rsidR="00923B8A" w:rsidRDefault="00923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C3C3D"/>
    <w:multiLevelType w:val="hybridMultilevel"/>
    <w:tmpl w:val="71A4316E"/>
    <w:lvl w:ilvl="0" w:tplc="DF08CAF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5B3C27"/>
    <w:multiLevelType w:val="hybridMultilevel"/>
    <w:tmpl w:val="BE9C1BDC"/>
    <w:lvl w:ilvl="0" w:tplc="44409DB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E63C9E">
      <w:start w:val="1"/>
      <w:numFmt w:val="lowerLetter"/>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82A7A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5EE5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20A0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F8C8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2290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0F6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044E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B"/>
    <w:rsid w:val="000F14B6"/>
    <w:rsid w:val="00177883"/>
    <w:rsid w:val="00206A8B"/>
    <w:rsid w:val="00261AB2"/>
    <w:rsid w:val="00601453"/>
    <w:rsid w:val="00607EF5"/>
    <w:rsid w:val="00631E01"/>
    <w:rsid w:val="006F5B29"/>
    <w:rsid w:val="007459C4"/>
    <w:rsid w:val="007A4CFE"/>
    <w:rsid w:val="00827ACD"/>
    <w:rsid w:val="00832806"/>
    <w:rsid w:val="008A370F"/>
    <w:rsid w:val="00923B8A"/>
    <w:rsid w:val="00957A12"/>
    <w:rsid w:val="009A1CA6"/>
    <w:rsid w:val="00A50383"/>
    <w:rsid w:val="00A87D89"/>
    <w:rsid w:val="00BA126A"/>
    <w:rsid w:val="00C918F7"/>
    <w:rsid w:val="00CF1715"/>
    <w:rsid w:val="00D40ADC"/>
    <w:rsid w:val="00D81F72"/>
    <w:rsid w:val="00D92226"/>
    <w:rsid w:val="00E900C2"/>
    <w:rsid w:val="00EA28B1"/>
    <w:rsid w:val="00FA663B"/>
    <w:rsid w:val="00FB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65136BA"/>
  <w15:docId w15:val="{B9191DA8-F324-4021-8E7C-61D326AC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730" w:hanging="73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00C2"/>
    <w:rPr>
      <w:color w:val="0563C1" w:themeColor="hyperlink"/>
      <w:u w:val="single"/>
    </w:rPr>
  </w:style>
  <w:style w:type="character" w:styleId="UnresolvedMention">
    <w:name w:val="Unresolved Mention"/>
    <w:basedOn w:val="DefaultParagraphFont"/>
    <w:uiPriority w:val="99"/>
    <w:semiHidden/>
    <w:unhideWhenUsed/>
    <w:rsid w:val="00E900C2"/>
    <w:rPr>
      <w:color w:val="605E5C"/>
      <w:shd w:val="clear" w:color="auto" w:fill="E1DFDD"/>
    </w:rPr>
  </w:style>
  <w:style w:type="paragraph" w:styleId="Header">
    <w:name w:val="header"/>
    <w:basedOn w:val="Normal"/>
    <w:link w:val="HeaderChar"/>
    <w:uiPriority w:val="99"/>
    <w:unhideWhenUsed/>
    <w:rsid w:val="00BA1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6A"/>
    <w:rPr>
      <w:rFonts w:ascii="Arial" w:eastAsia="Arial" w:hAnsi="Arial" w:cs="Arial"/>
      <w:color w:val="000000"/>
      <w:sz w:val="20"/>
    </w:rPr>
  </w:style>
  <w:style w:type="paragraph" w:styleId="Footer">
    <w:name w:val="footer"/>
    <w:basedOn w:val="Normal"/>
    <w:link w:val="FooterChar"/>
    <w:uiPriority w:val="99"/>
    <w:unhideWhenUsed/>
    <w:rsid w:val="00BA1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6A"/>
    <w:rPr>
      <w:rFonts w:ascii="Arial" w:eastAsia="Arial" w:hAnsi="Arial" w:cs="Arial"/>
      <w:color w:val="000000"/>
      <w:sz w:val="20"/>
    </w:rPr>
  </w:style>
  <w:style w:type="paragraph" w:styleId="ListParagraph">
    <w:name w:val="List Paragraph"/>
    <w:basedOn w:val="Normal"/>
    <w:uiPriority w:val="34"/>
    <w:qFormat/>
    <w:rsid w:val="008A370F"/>
    <w:pPr>
      <w:spacing w:after="160" w:line="259" w:lineRule="auto"/>
      <w:ind w:left="72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- 0101-Logo Use.doc</dc:title>
  <dc:subject/>
  <dc:creator>Scott C. Haase</dc:creator>
  <cp:keywords/>
  <cp:lastModifiedBy>John Skroch</cp:lastModifiedBy>
  <cp:revision>3</cp:revision>
  <cp:lastPrinted>2020-06-28T04:24:00Z</cp:lastPrinted>
  <dcterms:created xsi:type="dcterms:W3CDTF">2021-03-15T03:52:00Z</dcterms:created>
  <dcterms:modified xsi:type="dcterms:W3CDTF">2021-05-04T03:13:00Z</dcterms:modified>
</cp:coreProperties>
</file>